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3274325"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5B185B">
        <w:rPr>
          <w:bCs/>
          <w:noProof w:val="0"/>
          <w:sz w:val="24"/>
          <w:szCs w:val="24"/>
        </w:rPr>
        <w:t>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5B185B">
        <w:rPr>
          <w:bCs/>
          <w:noProof w:val="0"/>
          <w:sz w:val="24"/>
          <w:szCs w:val="24"/>
        </w:rPr>
        <w:t>5</w:t>
      </w:r>
      <w:r w:rsidR="00474689">
        <w:rPr>
          <w:bCs/>
          <w:noProof w:val="0"/>
          <w:sz w:val="24"/>
          <w:szCs w:val="24"/>
        </w:rPr>
        <w:t>00331</w:t>
      </w:r>
    </w:p>
    <w:p w14:paraId="3723E1D3" w14:textId="5FB376ED" w:rsidR="005432D9" w:rsidRPr="00465587" w:rsidRDefault="005B185B" w:rsidP="00531EC4">
      <w:pPr>
        <w:pStyle w:val="Header"/>
        <w:tabs>
          <w:tab w:val="right" w:pos="9639"/>
        </w:tabs>
        <w:jc w:val="both"/>
        <w:rPr>
          <w:rFonts w:eastAsia="SimSun"/>
          <w:bCs/>
          <w:sz w:val="24"/>
          <w:szCs w:val="24"/>
          <w:lang w:eastAsia="zh-CN"/>
        </w:rPr>
      </w:pPr>
      <w:r>
        <w:rPr>
          <w:rFonts w:eastAsia="SimSun"/>
          <w:bCs/>
          <w:sz w:val="24"/>
          <w:szCs w:val="24"/>
          <w:lang w:eastAsia="zh-CN"/>
        </w:rPr>
        <w:t>Athens</w:t>
      </w:r>
      <w:r w:rsidR="00A320DA" w:rsidRPr="00A320DA">
        <w:rPr>
          <w:rFonts w:eastAsia="SimSun"/>
          <w:bCs/>
          <w:sz w:val="24"/>
          <w:szCs w:val="24"/>
          <w:lang w:eastAsia="zh-CN"/>
        </w:rPr>
        <w:t xml:space="preserve">, </w:t>
      </w:r>
      <w:r>
        <w:rPr>
          <w:rFonts w:eastAsia="SimSun"/>
          <w:bCs/>
          <w:sz w:val="24"/>
          <w:szCs w:val="24"/>
          <w:lang w:eastAsia="zh-CN"/>
        </w:rPr>
        <w:t>Greece</w:t>
      </w:r>
      <w:r w:rsidR="00A320DA" w:rsidRPr="00A320DA">
        <w:rPr>
          <w:rFonts w:eastAsia="SimSun"/>
          <w:bCs/>
          <w:sz w:val="24"/>
          <w:szCs w:val="24"/>
          <w:lang w:eastAsia="zh-CN"/>
        </w:rPr>
        <w:t xml:space="preserve">, </w:t>
      </w:r>
      <w:r w:rsidR="00053FF9">
        <w:rPr>
          <w:rFonts w:eastAsia="SimSun"/>
          <w:bCs/>
          <w:sz w:val="24"/>
          <w:szCs w:val="24"/>
          <w:lang w:eastAsia="zh-CN"/>
        </w:rPr>
        <w:t>1</w:t>
      </w:r>
      <w:r>
        <w:rPr>
          <w:rFonts w:eastAsia="SimSun"/>
          <w:bCs/>
          <w:sz w:val="24"/>
          <w:szCs w:val="24"/>
          <w:lang w:eastAsia="zh-CN"/>
        </w:rPr>
        <w:t>7</w:t>
      </w:r>
      <w:r w:rsidR="0046458C" w:rsidRPr="007F4E5F">
        <w:rPr>
          <w:rFonts w:eastAsia="SimSun"/>
          <w:bCs/>
          <w:sz w:val="24"/>
          <w:szCs w:val="24"/>
          <w:vertAlign w:val="superscript"/>
          <w:lang w:eastAsia="zh-CN"/>
        </w:rPr>
        <w:t>th</w:t>
      </w:r>
      <w:r w:rsidR="0046458C">
        <w:rPr>
          <w:rFonts w:eastAsia="SimSun"/>
          <w:bCs/>
          <w:sz w:val="24"/>
          <w:szCs w:val="24"/>
          <w:lang w:eastAsia="zh-CN"/>
        </w:rPr>
        <w:t xml:space="preserve"> </w:t>
      </w:r>
      <w:r w:rsidR="00A320DA" w:rsidRPr="00A320DA">
        <w:rPr>
          <w:rFonts w:eastAsia="SimSun"/>
          <w:bCs/>
          <w:sz w:val="24"/>
          <w:szCs w:val="24"/>
          <w:lang w:eastAsia="zh-CN"/>
        </w:rPr>
        <w:t xml:space="preserve">– </w:t>
      </w:r>
      <w:r w:rsidR="00053FF9">
        <w:rPr>
          <w:rFonts w:eastAsia="SimSun"/>
          <w:bCs/>
          <w:sz w:val="24"/>
          <w:szCs w:val="24"/>
          <w:lang w:eastAsia="zh-CN"/>
        </w:rPr>
        <w:t>2</w:t>
      </w:r>
      <w:r>
        <w:rPr>
          <w:rFonts w:eastAsia="SimSun"/>
          <w:bCs/>
          <w:sz w:val="24"/>
          <w:szCs w:val="24"/>
          <w:lang w:eastAsia="zh-CN"/>
        </w:rPr>
        <w:t>1</w:t>
      </w:r>
      <w:r w:rsidRPr="005B185B">
        <w:rPr>
          <w:rFonts w:eastAsia="SimSun"/>
          <w:bCs/>
          <w:sz w:val="24"/>
          <w:szCs w:val="24"/>
          <w:vertAlign w:val="superscript"/>
          <w:lang w:eastAsia="zh-CN"/>
        </w:rPr>
        <w:t>st</w:t>
      </w:r>
      <w:r>
        <w:rPr>
          <w:rFonts w:eastAsia="SimSun"/>
          <w:bCs/>
          <w:sz w:val="24"/>
          <w:szCs w:val="24"/>
          <w:lang w:eastAsia="zh-CN"/>
        </w:rPr>
        <w:t xml:space="preserve"> </w:t>
      </w:r>
      <w:r w:rsidR="009E4019">
        <w:rPr>
          <w:rFonts w:eastAsia="SimSun"/>
          <w:bCs/>
          <w:sz w:val="24"/>
          <w:szCs w:val="24"/>
          <w:lang w:eastAsia="zh-CN"/>
        </w:rPr>
        <w:t xml:space="preserve">of </w:t>
      </w:r>
      <w:r>
        <w:rPr>
          <w:rFonts w:eastAsia="SimSun"/>
          <w:bCs/>
          <w:sz w:val="24"/>
          <w:szCs w:val="24"/>
          <w:lang w:eastAsia="zh-CN"/>
        </w:rPr>
        <w:t>February</w:t>
      </w:r>
      <w:r w:rsidR="00A320DA" w:rsidRPr="00A320DA">
        <w:rPr>
          <w:rFonts w:eastAsia="SimSun"/>
          <w:bCs/>
          <w:sz w:val="24"/>
          <w:szCs w:val="24"/>
          <w:lang w:eastAsia="zh-CN"/>
        </w:rPr>
        <w:t xml:space="preserve"> 202</w:t>
      </w:r>
      <w:r>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3470781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91DC7">
        <w:rPr>
          <w:rFonts w:cs="Arial"/>
          <w:b/>
          <w:bCs/>
          <w:sz w:val="24"/>
          <w:lang w:eastAsia="ja-JP"/>
        </w:rPr>
        <w:t>8.8.4</w:t>
      </w:r>
    </w:p>
    <w:p w14:paraId="73188B46" w14:textId="77777777"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5447C9C4"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A54875">
        <w:rPr>
          <w:rFonts w:ascii="Arial" w:hAnsi="Arial" w:cs="Arial"/>
          <w:b/>
          <w:bCs/>
          <w:sz w:val="24"/>
        </w:rPr>
        <w:t xml:space="preserve">Further </w:t>
      </w:r>
      <w:r w:rsidR="008247A4">
        <w:rPr>
          <w:rFonts w:ascii="Arial" w:hAnsi="Arial" w:cs="Arial"/>
          <w:b/>
          <w:bCs/>
          <w:sz w:val="24"/>
        </w:rPr>
        <w:t>Details o</w:t>
      </w:r>
      <w:r w:rsidR="009E4019">
        <w:rPr>
          <w:rFonts w:ascii="Arial" w:hAnsi="Arial" w:cs="Arial"/>
          <w:b/>
          <w:bCs/>
          <w:sz w:val="24"/>
        </w:rPr>
        <w:t>n</w:t>
      </w:r>
      <w:r w:rsidR="00881CEB" w:rsidRPr="00D70CCF">
        <w:rPr>
          <w:rFonts w:ascii="Arial" w:hAnsi="Arial" w:cs="Arial"/>
          <w:b/>
          <w:bCs/>
          <w:sz w:val="24"/>
        </w:rPr>
        <w:t xml:space="preserve"> </w:t>
      </w:r>
      <w:r w:rsidR="0083542D" w:rsidRPr="00D70CCF">
        <w:rPr>
          <w:rFonts w:ascii="Arial" w:hAnsi="Arial" w:cs="Arial"/>
          <w:b/>
          <w:bCs/>
          <w:sz w:val="24"/>
        </w:rPr>
        <w:t xml:space="preserve">MBS </w:t>
      </w:r>
      <w:r w:rsidR="00B3287A">
        <w:rPr>
          <w:rFonts w:ascii="Arial" w:hAnsi="Arial" w:cs="Arial"/>
          <w:b/>
          <w:bCs/>
          <w:sz w:val="24"/>
        </w:rPr>
        <w:t>in</w:t>
      </w:r>
      <w:r w:rsidR="0083542D" w:rsidRPr="00D70CCF">
        <w:rPr>
          <w:rFonts w:ascii="Arial" w:hAnsi="Arial" w:cs="Arial"/>
          <w:b/>
          <w:bCs/>
          <w:sz w:val="24"/>
        </w:rPr>
        <w:t xml:space="preserve"> </w:t>
      </w:r>
      <w:r w:rsidR="008D4614" w:rsidRPr="00D70CCF">
        <w:rPr>
          <w:rFonts w:ascii="Arial" w:hAnsi="Arial" w:cs="Arial"/>
          <w:b/>
          <w:bCs/>
          <w:sz w:val="24"/>
        </w:rPr>
        <w:t xml:space="preserve">Rel-19 NR </w:t>
      </w:r>
      <w:r w:rsidR="0083542D" w:rsidRPr="00D70CCF">
        <w:rPr>
          <w:rFonts w:ascii="Arial" w:hAnsi="Arial" w:cs="Arial"/>
          <w:b/>
          <w:bCs/>
          <w:sz w:val="24"/>
        </w:rPr>
        <w:t>NTN</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6C0B2B4C"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Pr="00451A30">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2D8BFF0B" w14:textId="77777777" w:rsidR="00C43338" w:rsidRPr="00451A30" w:rsidRDefault="00C43338" w:rsidP="00531EC4">
            <w:pPr>
              <w:numPr>
                <w:ilvl w:val="0"/>
                <w:numId w:val="20"/>
              </w:numPr>
              <w:overflowPunct w:val="0"/>
              <w:autoSpaceDE w:val="0"/>
              <w:autoSpaceDN w:val="0"/>
              <w:adjustRightInd w:val="0"/>
              <w:spacing w:after="0" w:line="276" w:lineRule="auto"/>
              <w:jc w:val="both"/>
              <w:textAlignment w:val="baseline"/>
              <w:rPr>
                <w:rFonts w:eastAsia="Malgun Gothic"/>
                <w:lang w:eastAsia="ko-KR"/>
              </w:rPr>
            </w:pPr>
            <w:r w:rsidRPr="00451A30">
              <w:rPr>
                <w:rFonts w:eastAsia="Malgun Gothic"/>
                <w:lang w:eastAsia="ko-KR"/>
              </w:rPr>
              <w:t xml:space="preserve">Specify </w:t>
            </w:r>
            <w:proofErr w:type="spellStart"/>
            <w:r w:rsidRPr="00451A30">
              <w:rPr>
                <w:rFonts w:eastAsia="Malgun Gothic"/>
                <w:lang w:eastAsia="ko-KR"/>
              </w:rPr>
              <w:t>signaling</w:t>
            </w:r>
            <w:proofErr w:type="spellEnd"/>
            <w:r w:rsidRPr="00451A30">
              <w:rPr>
                <w:rFonts w:eastAsia="Malgun Gothic"/>
                <w:lang w:eastAsia="ko-KR"/>
              </w:rPr>
              <w:t xml:space="preserve"> of the intended service area of a broadcast service (e.g. MBS broadcast) via NR NTN [RAN2, RAN3]</w:t>
            </w:r>
          </w:p>
          <w:p w14:paraId="6EC401F0" w14:textId="77777777" w:rsidR="00C43338" w:rsidRPr="00451A30" w:rsidRDefault="00C43338" w:rsidP="00531EC4">
            <w:pPr>
              <w:pStyle w:val="ListParagraph"/>
              <w:widowControl w:val="0"/>
              <w:numPr>
                <w:ilvl w:val="0"/>
                <w:numId w:val="19"/>
              </w:numPr>
              <w:spacing w:after="0" w:line="276" w:lineRule="auto"/>
              <w:ind w:hanging="357"/>
              <w:jc w:val="both"/>
            </w:pPr>
            <w:r w:rsidRPr="00451A30">
              <w:t xml:space="preserve">Specify SIB </w:t>
            </w:r>
            <w:proofErr w:type="spellStart"/>
            <w:r w:rsidRPr="00451A30">
              <w:t>signaling</w:t>
            </w:r>
            <w:proofErr w:type="spellEnd"/>
            <w:r w:rsidRPr="00451A30">
              <w:t xml:space="preserve"> to indicate the intended service area in case the satellite footprint covers a larger area. [RAN2]</w:t>
            </w:r>
          </w:p>
          <w:p w14:paraId="708B562F" w14:textId="77777777" w:rsidR="00C43338" w:rsidRPr="00451A30" w:rsidRDefault="00C43338" w:rsidP="00531EC4">
            <w:pPr>
              <w:pStyle w:val="ListParagraph"/>
              <w:widowControl w:val="0"/>
              <w:numPr>
                <w:ilvl w:val="0"/>
                <w:numId w:val="19"/>
              </w:numPr>
              <w:spacing w:after="0" w:line="276" w:lineRule="auto"/>
              <w:ind w:hanging="357"/>
              <w:jc w:val="both"/>
            </w:pPr>
            <w:r w:rsidRPr="00451A30">
              <w:t xml:space="preserve">Specify the necessary </w:t>
            </w:r>
            <w:proofErr w:type="spellStart"/>
            <w:r w:rsidRPr="00451A30">
              <w:t>signaling</w:t>
            </w:r>
            <w:proofErr w:type="spellEnd"/>
            <w:r w:rsidRPr="00451A30">
              <w:t xml:space="preserve"> between CN and NG-RAN. [RAN3]</w:t>
            </w:r>
          </w:p>
        </w:tc>
      </w:tr>
    </w:tbl>
    <w:p w14:paraId="6412E895" w14:textId="316492EC" w:rsidR="00F962E6" w:rsidRDefault="003739DD" w:rsidP="00531EC4">
      <w:pPr>
        <w:jc w:val="both"/>
      </w:pPr>
      <w:r>
        <w:br/>
      </w:r>
      <w:r w:rsidR="00F962E6">
        <w:t xml:space="preserve">In </w:t>
      </w:r>
      <w:r w:rsidR="00F408DE">
        <w:t>RAN2#12</w:t>
      </w:r>
      <w:r w:rsidR="00053FF9">
        <w:t>7</w:t>
      </w:r>
      <w:r w:rsidR="00F408DE">
        <w:t>bis meeting, the</w:t>
      </w:r>
      <w:r w:rsidR="00053FF9">
        <w:t xml:space="preserve"> following decision has been made </w:t>
      </w:r>
      <w:r w:rsidR="009909AB">
        <w:t>[2]</w:t>
      </w:r>
      <w:r w:rsidR="00F408DE">
        <w:t>:</w:t>
      </w:r>
    </w:p>
    <w:tbl>
      <w:tblPr>
        <w:tblStyle w:val="TableGrid"/>
        <w:tblW w:w="0" w:type="auto"/>
        <w:tblLook w:val="04A0" w:firstRow="1" w:lastRow="0" w:firstColumn="1" w:lastColumn="0" w:noHBand="0" w:noVBand="1"/>
      </w:tblPr>
      <w:tblGrid>
        <w:gridCol w:w="9631"/>
      </w:tblGrid>
      <w:tr w:rsidR="00F408DE" w14:paraId="34B870CA" w14:textId="77777777" w:rsidTr="00F408DE">
        <w:tc>
          <w:tcPr>
            <w:tcW w:w="9631" w:type="dxa"/>
          </w:tcPr>
          <w:p w14:paraId="30A79DE7" w14:textId="77777777" w:rsidR="00053FF9" w:rsidRPr="00053FF9" w:rsidRDefault="00053FF9" w:rsidP="00053FF9">
            <w:pPr>
              <w:jc w:val="both"/>
            </w:pPr>
            <w:r w:rsidRPr="00053FF9">
              <w:t>Agreements:</w:t>
            </w:r>
          </w:p>
          <w:p w14:paraId="620A0040" w14:textId="29617332" w:rsidR="00F408DE" w:rsidRDefault="00053FF9" w:rsidP="00053FF9">
            <w:pPr>
              <w:jc w:val="both"/>
            </w:pPr>
            <w:r w:rsidRPr="00053FF9">
              <w:t>1.</w:t>
            </w:r>
            <w:r w:rsidRPr="00053FF9">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bl>
    <w:p w14:paraId="6684A430" w14:textId="4AD358BA" w:rsidR="00AA7156" w:rsidRDefault="00C43338" w:rsidP="00053FF9">
      <w:pPr>
        <w:jc w:val="both"/>
      </w:pPr>
      <w:r w:rsidRPr="00451A30">
        <w:br/>
      </w:r>
      <w:r w:rsidR="00053FF9">
        <w:t>Few other topics have been marked as “</w:t>
      </w:r>
      <w:r w:rsidR="00053FF9" w:rsidRPr="00053FF9">
        <w:rPr>
          <w:i/>
          <w:iCs/>
        </w:rPr>
        <w:t>Come back in the next meeting</w:t>
      </w:r>
      <w:r w:rsidR="00053FF9">
        <w:t xml:space="preserve">”. </w:t>
      </w:r>
      <w:r w:rsidR="00AA7156">
        <w:t>At RAN2#128 meeting (November 2024) the following</w:t>
      </w:r>
      <w:r w:rsidR="00F0319B">
        <w:t xml:space="preserve"> agreements</w:t>
      </w:r>
      <w:r w:rsidR="00AA7156">
        <w:t xml:space="preserve"> have been made:</w:t>
      </w:r>
    </w:p>
    <w:tbl>
      <w:tblPr>
        <w:tblStyle w:val="TableGrid"/>
        <w:tblW w:w="0" w:type="auto"/>
        <w:tblLook w:val="04A0" w:firstRow="1" w:lastRow="0" w:firstColumn="1" w:lastColumn="0" w:noHBand="0" w:noVBand="1"/>
      </w:tblPr>
      <w:tblGrid>
        <w:gridCol w:w="9631"/>
      </w:tblGrid>
      <w:tr w:rsidR="00AA7156" w14:paraId="07F8D1F9" w14:textId="77777777" w:rsidTr="00AA7156">
        <w:tc>
          <w:tcPr>
            <w:tcW w:w="9631" w:type="dxa"/>
          </w:tcPr>
          <w:p w14:paraId="5D22A448" w14:textId="77777777" w:rsidR="00AA7156" w:rsidRDefault="00AA7156" w:rsidP="00AA7156">
            <w:pPr>
              <w:jc w:val="both"/>
            </w:pPr>
            <w:r>
              <w:t>Agreements:</w:t>
            </w:r>
          </w:p>
          <w:p w14:paraId="150540D7" w14:textId="77777777" w:rsidR="00AA7156" w:rsidRDefault="00AA7156" w:rsidP="00AA7156">
            <w:pPr>
              <w:jc w:val="both"/>
            </w:pPr>
            <w:r>
              <w:t>1.</w:t>
            </w:r>
            <w:r>
              <w:tab/>
              <w:t>The encoding of TN coverage introduced in Rel-18 in TS38.331, including tn-ReferenceLocation-r18 and tn-DistanceRadius-r18, is reused for the geographical area of the circle.</w:t>
            </w:r>
          </w:p>
          <w:p w14:paraId="0595340D" w14:textId="77777777" w:rsidR="00AA7156" w:rsidRDefault="00AA7156" w:rsidP="00AA7156">
            <w:pPr>
              <w:jc w:val="both"/>
            </w:pPr>
            <w:r>
              <w:t>2.</w:t>
            </w:r>
            <w:r>
              <w:tab/>
              <w:t>The encoding of Polygon in TS37.355 is reused for the geographical area of the Polygon.</w:t>
            </w:r>
          </w:p>
          <w:p w14:paraId="47FA9630" w14:textId="77777777" w:rsidR="00AA7156" w:rsidRDefault="00AA7156" w:rsidP="00AA7156">
            <w:pPr>
              <w:jc w:val="both"/>
            </w:pPr>
            <w:r>
              <w:t>3.</w:t>
            </w:r>
            <w:r>
              <w:tab/>
              <w:t xml:space="preserve">The </w:t>
            </w:r>
            <w:proofErr w:type="spellStart"/>
            <w:r>
              <w:t>IntendedServiceArea</w:t>
            </w:r>
            <w:proofErr w:type="spellEnd"/>
            <w:r>
              <w:t xml:space="preserve"> is considered as the IE name of the geographical area (we can still update the name in the CR implementation if needed)</w:t>
            </w:r>
          </w:p>
          <w:p w14:paraId="73608381" w14:textId="77777777" w:rsidR="00AA7156" w:rsidRDefault="00AA7156" w:rsidP="00AA7156">
            <w:pPr>
              <w:jc w:val="both"/>
            </w:pPr>
            <w:r>
              <w:t>4.</w:t>
            </w:r>
            <w:r>
              <w:tab/>
              <w:t xml:space="preserve">A signalled intended service area for </w:t>
            </w:r>
            <w:proofErr w:type="gramStart"/>
            <w:r>
              <w:t>a</w:t>
            </w:r>
            <w:proofErr w:type="gramEnd"/>
            <w:r>
              <w:t xml:space="preserve"> MBS BC service may include geographic areas across the current serving cell and overlapping </w:t>
            </w:r>
            <w:proofErr w:type="spellStart"/>
            <w:r>
              <w:t>neighbor</w:t>
            </w:r>
            <w:proofErr w:type="spellEnd"/>
            <w:r>
              <w:t xml:space="preserve"> cell(s).</w:t>
            </w:r>
          </w:p>
          <w:p w14:paraId="58A1E46C" w14:textId="77777777" w:rsidR="00AA7156" w:rsidRDefault="00AA7156" w:rsidP="00AA7156">
            <w:pPr>
              <w:jc w:val="both"/>
            </w:pPr>
            <w:r>
              <w:t>5.</w:t>
            </w:r>
            <w:r>
              <w:tab/>
              <w:t xml:space="preserve">RAN2 understands that the geographic area information for the intended service areas can be semi-static and not cause frequent updates.  </w:t>
            </w:r>
          </w:p>
          <w:p w14:paraId="55C4E71D" w14:textId="77777777" w:rsidR="00AA7156" w:rsidRDefault="00AA7156" w:rsidP="00AA7156">
            <w:pPr>
              <w:jc w:val="both"/>
            </w:pPr>
            <w:r>
              <w:t>6.</w:t>
            </w:r>
            <w:r>
              <w:tab/>
              <w:t>Introduce a new SIB to include a list of intended service areas and related pointer (FFS if we point to the intended services areas via the index in the list or with an ID or another way)</w:t>
            </w:r>
          </w:p>
          <w:p w14:paraId="47544C1D" w14:textId="7DE3223E" w:rsidR="00AA7156" w:rsidRDefault="00AA7156" w:rsidP="00AA7156">
            <w:pPr>
              <w:jc w:val="both"/>
            </w:pPr>
            <w:r>
              <w:t>7.</w:t>
            </w:r>
            <w:r>
              <w:tab/>
              <w:t>The legacy SIB modification procedure is applied to update the intended service area information in the new SIB.</w:t>
            </w:r>
          </w:p>
        </w:tc>
      </w:tr>
    </w:tbl>
    <w:p w14:paraId="2A6D5050" w14:textId="77777777" w:rsidR="00AA7156" w:rsidRDefault="00AA7156" w:rsidP="00053FF9">
      <w:pPr>
        <w:jc w:val="both"/>
      </w:pPr>
    </w:p>
    <w:p w14:paraId="4A24EA0E" w14:textId="50203268" w:rsidR="003F2C70" w:rsidRDefault="003F2C70" w:rsidP="00053FF9">
      <w:pPr>
        <w:jc w:val="both"/>
      </w:pPr>
      <w:r>
        <w:lastRenderedPageBreak/>
        <w:t>In the meantime, SA1 has responded to our LS on ET</w:t>
      </w:r>
      <w:r w:rsidR="008577F2">
        <w:t>W</w:t>
      </w:r>
      <w:r>
        <w:t>S primary notification. In their response LS</w:t>
      </w:r>
      <w:r w:rsidR="00260BF1">
        <w:t xml:space="preserve"> </w:t>
      </w:r>
      <w:r w:rsidR="00260BF1">
        <w:fldChar w:fldCharType="begin"/>
      </w:r>
      <w:r w:rsidR="00260BF1">
        <w:instrText xml:space="preserve"> REF _Ref187221641 \r \h </w:instrText>
      </w:r>
      <w:r w:rsidR="00260BF1">
        <w:fldChar w:fldCharType="separate"/>
      </w:r>
      <w:r w:rsidR="004905E3">
        <w:t>[4]</w:t>
      </w:r>
      <w:r w:rsidR="00260BF1">
        <w:fldChar w:fldCharType="end"/>
      </w:r>
      <w:r>
        <w:t xml:space="preserve"> the following is stated:</w:t>
      </w:r>
    </w:p>
    <w:tbl>
      <w:tblPr>
        <w:tblStyle w:val="TableGrid"/>
        <w:tblW w:w="0" w:type="auto"/>
        <w:tblLook w:val="04A0" w:firstRow="1" w:lastRow="0" w:firstColumn="1" w:lastColumn="0" w:noHBand="0" w:noVBand="1"/>
      </w:tblPr>
      <w:tblGrid>
        <w:gridCol w:w="9631"/>
      </w:tblGrid>
      <w:tr w:rsidR="003F2C70" w14:paraId="58E104EE" w14:textId="77777777" w:rsidTr="003F2C70">
        <w:tc>
          <w:tcPr>
            <w:tcW w:w="9631" w:type="dxa"/>
          </w:tcPr>
          <w:p w14:paraId="19445330" w14:textId="77777777" w:rsidR="003F2C70" w:rsidRDefault="003F2C70" w:rsidP="003F2C70">
            <w:r w:rsidRPr="00B94358">
              <w:t>SA1 thanks RAN2 for the</w:t>
            </w:r>
            <w:r>
              <w:t xml:space="preserve"> </w:t>
            </w:r>
            <w:r w:rsidRPr="00B94358">
              <w:t xml:space="preserve">LS </w:t>
            </w:r>
            <w:r w:rsidRPr="006D6C25">
              <w:t xml:space="preserve">on </w:t>
            </w:r>
            <w:r w:rsidRPr="00AE103A">
              <w:t xml:space="preserve">requirements for ETWS primary notification </w:t>
            </w:r>
            <w:r w:rsidRPr="006D6C25">
              <w:t>(</w:t>
            </w:r>
            <w:r w:rsidRPr="00EC5133">
              <w:t>R2-240</w:t>
            </w:r>
            <w:r>
              <w:t>782</w:t>
            </w:r>
            <w:r w:rsidRPr="00EC5133">
              <w:t>3</w:t>
            </w:r>
            <w:r w:rsidRPr="006D6C25">
              <w:t>)</w:t>
            </w:r>
            <w:r>
              <w:t xml:space="preserve">. </w:t>
            </w:r>
          </w:p>
          <w:p w14:paraId="31B070B8" w14:textId="21B13E10" w:rsidR="003F2C70" w:rsidRPr="003F2C70" w:rsidRDefault="003F2C70" w:rsidP="003F2C70">
            <w:pPr>
              <w:rPr>
                <w:highlight w:val="yellow"/>
              </w:rPr>
            </w:pPr>
            <w:r>
              <w:t>SA1 would like to inform RAN2 of the resulting alignment CR which is attached.</w:t>
            </w:r>
          </w:p>
        </w:tc>
      </w:tr>
    </w:tbl>
    <w:p w14:paraId="75A302ED" w14:textId="10527503" w:rsidR="006D7CA2" w:rsidRDefault="00FB014B" w:rsidP="008577F2">
      <w:pPr>
        <w:jc w:val="both"/>
      </w:pPr>
      <w:r>
        <w:br/>
      </w:r>
      <w:r w:rsidR="008577F2">
        <w:t>In one of the following subsections we provide the details of SA1 CR and discuss the implications to RAN2. Besides, this</w:t>
      </w:r>
      <w:r w:rsidR="00C43338" w:rsidRPr="00451A30">
        <w:t xml:space="preserve"> paper present</w:t>
      </w:r>
      <w:r w:rsidR="008577F2">
        <w:t>s</w:t>
      </w:r>
      <w:r w:rsidR="00C43338" w:rsidRPr="00451A30">
        <w:t xml:space="preserve"> our </w:t>
      </w:r>
      <w:r w:rsidR="0016317C">
        <w:t xml:space="preserve">further </w:t>
      </w:r>
      <w:r w:rsidR="007D1130">
        <w:t>view</w:t>
      </w:r>
      <w:r w:rsidR="00C43338" w:rsidRPr="00451A30">
        <w:t xml:space="preserve"> on what </w:t>
      </w:r>
      <w:r w:rsidR="00053FF9">
        <w:t>remains</w:t>
      </w:r>
      <w:r w:rsidR="00C43338" w:rsidRPr="00451A30">
        <w:t xml:space="preserve"> to be addressed for </w:t>
      </w:r>
      <w:r w:rsidR="008577F2">
        <w:t>MBS</w:t>
      </w:r>
      <w:r w:rsidR="00C43338" w:rsidRPr="00451A30">
        <w:t xml:space="preserve"> Rel-19 objective in RAN2.</w:t>
      </w:r>
    </w:p>
    <w:p w14:paraId="7D484B6E" w14:textId="3BD33464" w:rsidR="009339CB" w:rsidRDefault="009339CB" w:rsidP="00531EC4">
      <w:pPr>
        <w:pStyle w:val="Heading1"/>
        <w:jc w:val="both"/>
      </w:pPr>
      <w:r w:rsidRPr="006E13D1">
        <w:t>2</w:t>
      </w:r>
      <w:r w:rsidRPr="006E13D1">
        <w:tab/>
      </w:r>
      <w:r w:rsidR="00AD25AE">
        <w:t>Discussion</w:t>
      </w:r>
    </w:p>
    <w:p w14:paraId="29B43D6D" w14:textId="4530609D" w:rsidR="00660412" w:rsidRDefault="00C82AC3" w:rsidP="00D20456">
      <w:pPr>
        <w:pStyle w:val="Heading2"/>
        <w:jc w:val="both"/>
      </w:pPr>
      <w:r>
        <w:t>2.1</w:t>
      </w:r>
      <w:r>
        <w:tab/>
      </w:r>
      <w:r w:rsidR="006D1787">
        <w:t>S</w:t>
      </w:r>
      <w:r w:rsidR="00660412">
        <w:t xml:space="preserve">ervice area signalling – MCCH </w:t>
      </w:r>
      <w:r w:rsidR="00442BA6">
        <w:t>and new</w:t>
      </w:r>
      <w:r w:rsidR="00660412">
        <w:t xml:space="preserve"> SIB</w:t>
      </w:r>
    </w:p>
    <w:p w14:paraId="694DAD78" w14:textId="157FE96F" w:rsidR="00823ED8" w:rsidRDefault="002619DD" w:rsidP="00E43C71">
      <w:r>
        <w:t>So far, t</w:t>
      </w:r>
      <w:r w:rsidR="00660412">
        <w:t>he de</w:t>
      </w:r>
      <w:r w:rsidR="00233681">
        <w:t>sign of</w:t>
      </w:r>
      <w:r w:rsidR="00660412">
        <w:t xml:space="preserve"> service area</w:t>
      </w:r>
      <w:r w:rsidR="00233681">
        <w:t xml:space="preserve"> signalling for MBS in NTN</w:t>
      </w:r>
      <w:r w:rsidR="00660412">
        <w:t xml:space="preserve"> has been made in baby steps. </w:t>
      </w:r>
    </w:p>
    <w:p w14:paraId="07A60BD0" w14:textId="2FA22225" w:rsidR="00823ED8" w:rsidRDefault="00823ED8" w:rsidP="00823ED8">
      <w:pPr>
        <w:jc w:val="both"/>
      </w:pPr>
      <w:r>
        <w:t xml:space="preserve">At RAN2#126 (May 2024) the following has been agreed </w:t>
      </w:r>
      <w:r w:rsidR="002619DD">
        <w:fldChar w:fldCharType="begin"/>
      </w:r>
      <w:r w:rsidR="002619DD">
        <w:instrText xml:space="preserve"> REF _Ref187145371 \r \h </w:instrText>
      </w:r>
      <w:r w:rsidR="002619DD">
        <w:fldChar w:fldCharType="separate"/>
      </w:r>
      <w:r w:rsidR="002619DD">
        <w:t>[6]</w:t>
      </w:r>
      <w:r w:rsidR="002619DD">
        <w:fldChar w:fldCharType="end"/>
      </w:r>
      <w:r>
        <w:t>:</w:t>
      </w:r>
    </w:p>
    <w:tbl>
      <w:tblPr>
        <w:tblStyle w:val="TableGrid"/>
        <w:tblW w:w="0" w:type="auto"/>
        <w:tblLook w:val="04A0" w:firstRow="1" w:lastRow="0" w:firstColumn="1" w:lastColumn="0" w:noHBand="0" w:noVBand="1"/>
      </w:tblPr>
      <w:tblGrid>
        <w:gridCol w:w="9631"/>
      </w:tblGrid>
      <w:tr w:rsidR="00823ED8" w14:paraId="48B2E185" w14:textId="77777777" w:rsidTr="00FC1884">
        <w:tc>
          <w:tcPr>
            <w:tcW w:w="9631" w:type="dxa"/>
          </w:tcPr>
          <w:p w14:paraId="081FD81F" w14:textId="77777777" w:rsidR="00823ED8" w:rsidRDefault="00823ED8" w:rsidP="00FC1884">
            <w:pPr>
              <w:jc w:val="both"/>
            </w:pPr>
            <w:r w:rsidRPr="00155D65">
              <w:t xml:space="preserve">For MBS broadcast RAN2 considers the following possibilities for including the service area information: SIB20/ SIB21/ </w:t>
            </w:r>
            <w:proofErr w:type="spellStart"/>
            <w:r w:rsidRPr="00155D65">
              <w:t>MBSBroadcastConfiguration</w:t>
            </w:r>
            <w:proofErr w:type="spellEnd"/>
            <w:r w:rsidRPr="00155D65">
              <w:t>. FFS for ETWS</w:t>
            </w:r>
          </w:p>
        </w:tc>
      </w:tr>
    </w:tbl>
    <w:p w14:paraId="1182975E" w14:textId="76676C8F" w:rsidR="00823ED8" w:rsidRDefault="00823ED8" w:rsidP="00823ED8">
      <w:pPr>
        <w:jc w:val="both"/>
      </w:pPr>
      <w:r>
        <w:br/>
        <w:t xml:space="preserve">At RAN2#127 (August 2024) the topic was discussed via offline thread </w:t>
      </w:r>
      <w:r w:rsidR="002619DD">
        <w:fldChar w:fldCharType="begin"/>
      </w:r>
      <w:r w:rsidR="002619DD">
        <w:instrText xml:space="preserve"> REF _Ref187145391 \r \h </w:instrText>
      </w:r>
      <w:r w:rsidR="002619DD">
        <w:fldChar w:fldCharType="separate"/>
      </w:r>
      <w:r w:rsidR="002619DD">
        <w:t>[8]</w:t>
      </w:r>
      <w:r w:rsidR="002619DD">
        <w:fldChar w:fldCharType="end"/>
      </w:r>
      <w:r>
        <w:t xml:space="preserve"> and the following was agreed </w:t>
      </w:r>
      <w:r w:rsidR="002619DD">
        <w:fldChar w:fldCharType="begin"/>
      </w:r>
      <w:r w:rsidR="002619DD">
        <w:instrText xml:space="preserve"> REF _Ref187145403 \r \h </w:instrText>
      </w:r>
      <w:r w:rsidR="002619DD">
        <w:fldChar w:fldCharType="separate"/>
      </w:r>
      <w:r w:rsidR="002619DD">
        <w:t>[7]</w:t>
      </w:r>
      <w:r w:rsidR="002619DD">
        <w:fldChar w:fldCharType="end"/>
      </w:r>
      <w:r>
        <w:t>:</w:t>
      </w:r>
    </w:p>
    <w:tbl>
      <w:tblPr>
        <w:tblStyle w:val="TableGrid"/>
        <w:tblW w:w="0" w:type="auto"/>
        <w:tblLook w:val="04A0" w:firstRow="1" w:lastRow="0" w:firstColumn="1" w:lastColumn="0" w:noHBand="0" w:noVBand="1"/>
      </w:tblPr>
      <w:tblGrid>
        <w:gridCol w:w="9631"/>
      </w:tblGrid>
      <w:tr w:rsidR="00823ED8" w14:paraId="3F4C24B6" w14:textId="77777777" w:rsidTr="00FC1884">
        <w:tc>
          <w:tcPr>
            <w:tcW w:w="9631" w:type="dxa"/>
          </w:tcPr>
          <w:p w14:paraId="59F5A1C7" w14:textId="77777777" w:rsidR="00823ED8" w:rsidRDefault="00823ED8" w:rsidP="00FC1884">
            <w:pPr>
              <w:jc w:val="both"/>
            </w:pPr>
            <w:r w:rsidRPr="00585D0D">
              <w:t>2.</w:t>
            </w:r>
            <w:r w:rsidRPr="00585D0D">
              <w:tab/>
              <w:t xml:space="preserve">RAN2 understands that the expected UE </w:t>
            </w:r>
            <w:proofErr w:type="spellStart"/>
            <w:r w:rsidRPr="00585D0D">
              <w:t>behavior</w:t>
            </w:r>
            <w:proofErr w:type="spellEnd"/>
            <w:r w:rsidRPr="00585D0D">
              <w:t xml:space="preserve"> is that when the UE is not in any intended service area of its interested broadcast services, the UE may not need to (re)acquire up-to-date MCCH. FFS on solutions</w:t>
            </w:r>
          </w:p>
        </w:tc>
      </w:tr>
    </w:tbl>
    <w:p w14:paraId="4507BF6C" w14:textId="0F8A8A4E" w:rsidR="002619DD" w:rsidRDefault="00823ED8" w:rsidP="002619DD">
      <w:r>
        <w:br/>
      </w:r>
      <w:r w:rsidR="002619DD">
        <w:t>Eventually a solid</w:t>
      </w:r>
      <w:r w:rsidR="00D260AD">
        <w:t xml:space="preserve">, </w:t>
      </w:r>
      <w:r w:rsidR="0094762E">
        <w:t>even if not in the right direction</w:t>
      </w:r>
      <w:r w:rsidR="00D260AD">
        <w:t>, step</w:t>
      </w:r>
      <w:r w:rsidR="002619DD">
        <w:t xml:space="preserve"> was taken at RAN2#</w:t>
      </w:r>
      <w:r w:rsidR="00A16127">
        <w:t>128,</w:t>
      </w:r>
      <w:r w:rsidR="002619DD">
        <w:t xml:space="preserve"> and the following decision can be found in the meeting notes </w:t>
      </w:r>
      <w:r w:rsidR="002619DD">
        <w:fldChar w:fldCharType="begin"/>
      </w:r>
      <w:r w:rsidR="002619DD">
        <w:instrText xml:space="preserve"> REF _Ref187145446 \r \h </w:instrText>
      </w:r>
      <w:r w:rsidR="002619DD">
        <w:fldChar w:fldCharType="separate"/>
      </w:r>
      <w:r w:rsidR="002619DD">
        <w:t>[3]</w:t>
      </w:r>
      <w:r w:rsidR="002619DD">
        <w:fldChar w:fldCharType="end"/>
      </w:r>
      <w:r w:rsidR="002619DD">
        <w:t>:</w:t>
      </w:r>
    </w:p>
    <w:tbl>
      <w:tblPr>
        <w:tblStyle w:val="TableGrid"/>
        <w:tblW w:w="0" w:type="auto"/>
        <w:tblLook w:val="04A0" w:firstRow="1" w:lastRow="0" w:firstColumn="1" w:lastColumn="0" w:noHBand="0" w:noVBand="1"/>
      </w:tblPr>
      <w:tblGrid>
        <w:gridCol w:w="9631"/>
      </w:tblGrid>
      <w:tr w:rsidR="002619DD" w14:paraId="431AC823" w14:textId="77777777" w:rsidTr="002619DD">
        <w:tc>
          <w:tcPr>
            <w:tcW w:w="9631" w:type="dxa"/>
          </w:tcPr>
          <w:p w14:paraId="3A5524C7" w14:textId="77777777" w:rsidR="002619DD" w:rsidRDefault="002619DD" w:rsidP="002619DD">
            <w:pPr>
              <w:pStyle w:val="ListParagraph"/>
              <w:numPr>
                <w:ilvl w:val="0"/>
                <w:numId w:val="35"/>
              </w:numPr>
            </w:pPr>
            <w:r w:rsidRPr="002619DD">
              <w:t>RAN2 understands that the geographic area information for the intended service areas can be semi-static and not cause frequent updates.</w:t>
            </w:r>
          </w:p>
          <w:p w14:paraId="7D51B85D" w14:textId="1E21F68A" w:rsidR="002619DD" w:rsidRDefault="002619DD" w:rsidP="002619DD">
            <w:pPr>
              <w:pStyle w:val="ListParagraph"/>
              <w:numPr>
                <w:ilvl w:val="0"/>
                <w:numId w:val="35"/>
              </w:numPr>
            </w:pPr>
            <w:r w:rsidRPr="002619DD">
              <w:t xml:space="preserve">Introduce a new SIB to include a list of intended service areas and related pointer (FFS if we point to the intended services areas via the index in the list or with an ID or another way)  </w:t>
            </w:r>
          </w:p>
        </w:tc>
      </w:tr>
    </w:tbl>
    <w:p w14:paraId="7D911E05" w14:textId="473C20EB" w:rsidR="00277391" w:rsidRPr="00D260AD" w:rsidRDefault="00277391" w:rsidP="00823ED8">
      <w:pPr>
        <w:rPr>
          <w:b/>
          <w:bCs/>
        </w:rPr>
      </w:pPr>
      <w:r>
        <w:br/>
      </w:r>
      <w:r w:rsidR="00D260AD" w:rsidRPr="00D260AD">
        <w:rPr>
          <w:b/>
          <w:bCs/>
        </w:rPr>
        <w:t xml:space="preserve">Observation 1: RAN2 has decided to introduce a new SIB which will include the list of service areas. The list of intended service area identifiers is also </w:t>
      </w:r>
      <w:r w:rsidR="00A16127">
        <w:rPr>
          <w:b/>
          <w:bCs/>
        </w:rPr>
        <w:t xml:space="preserve">to be </w:t>
      </w:r>
      <w:r w:rsidR="00D260AD" w:rsidRPr="00D260AD">
        <w:rPr>
          <w:b/>
          <w:bCs/>
        </w:rPr>
        <w:t>carrie</w:t>
      </w:r>
      <w:r w:rsidR="00A16127">
        <w:rPr>
          <w:b/>
          <w:bCs/>
        </w:rPr>
        <w:t>d</w:t>
      </w:r>
      <w:r w:rsidR="00D260AD" w:rsidRPr="00D260AD">
        <w:rPr>
          <w:b/>
          <w:bCs/>
        </w:rPr>
        <w:t xml:space="preserve"> in MCCH </w:t>
      </w:r>
      <w:r w:rsidR="004736B0">
        <w:rPr>
          <w:b/>
          <w:bCs/>
        </w:rPr>
        <w:t xml:space="preserve">for each MBS service </w:t>
      </w:r>
      <w:r w:rsidR="00D260AD" w:rsidRPr="00D260AD">
        <w:rPr>
          <w:b/>
          <w:bCs/>
        </w:rPr>
        <w:t>(as per earlier RAN2 agreements).</w:t>
      </w:r>
    </w:p>
    <w:p w14:paraId="1BEE7D30" w14:textId="67AC8D81" w:rsidR="00D916D0" w:rsidRDefault="004736B0" w:rsidP="008C01F2">
      <w:pPr>
        <w:jc w:val="both"/>
      </w:pPr>
      <w:r>
        <w:t>So the service definition is given in MCCH and associated ID/index points to a new SIB where</w:t>
      </w:r>
      <w:r w:rsidR="00A16127">
        <w:t xml:space="preserve"> </w:t>
      </w:r>
      <w:r w:rsidR="00FB444F">
        <w:t>service area de</w:t>
      </w:r>
      <w:r>
        <w:t>tails are provided</w:t>
      </w:r>
      <w:r w:rsidR="00FB444F">
        <w:t>. There is an FFS in the agreement made at RAN2#128 regarding the way to identify the service areas in SIB: either via an ID or index or</w:t>
      </w:r>
      <w:r w:rsidR="00334A07">
        <w:t xml:space="preserve"> in</w:t>
      </w:r>
      <w:r w:rsidR="00FB444F">
        <w:t xml:space="preserve"> “another way”</w:t>
      </w:r>
      <w:r w:rsidR="00F8041C">
        <w:t xml:space="preserve"> (e.g. via a </w:t>
      </w:r>
      <w:r w:rsidR="00334A07">
        <w:t xml:space="preserve">specific </w:t>
      </w:r>
      <w:r w:rsidR="00F8041C">
        <w:t>position in a bitmap).</w:t>
      </w:r>
      <w:r w:rsidR="004F392F">
        <w:t xml:space="preserve"> Our understanding on the reason behind </w:t>
      </w:r>
      <w:r w:rsidR="00D40898">
        <w:t xml:space="preserve">this FFS </w:t>
      </w:r>
      <w:r w:rsidR="004F392F">
        <w:t xml:space="preserve">is the </w:t>
      </w:r>
      <w:r w:rsidR="00D40898">
        <w:t xml:space="preserve">complex </w:t>
      </w:r>
      <w:r w:rsidR="004F392F">
        <w:t>relationship between the services and corresponding service area(s).</w:t>
      </w:r>
      <w:r w:rsidR="009267D5">
        <w:t xml:space="preserve"> As per legacy </w:t>
      </w:r>
      <w:r w:rsidR="00487CE2">
        <w:t xml:space="preserve">MBS, </w:t>
      </w:r>
      <w:r w:rsidR="0052433F">
        <w:t xml:space="preserve">one service can be mapped to a single service area. However, </w:t>
      </w:r>
      <w:r w:rsidR="004F392F">
        <w:t xml:space="preserve">multiple services </w:t>
      </w:r>
      <w:r w:rsidR="0052433F">
        <w:t xml:space="preserve">can be present </w:t>
      </w:r>
      <w:r w:rsidR="004F392F">
        <w:t>within a single service area (i.e. many</w:t>
      </w:r>
      <w:r w:rsidR="00D916D0">
        <w:t>-</w:t>
      </w:r>
      <w:r w:rsidR="004F392F">
        <w:t>to</w:t>
      </w:r>
      <w:r w:rsidR="00D916D0">
        <w:t>-</w:t>
      </w:r>
      <w:r w:rsidR="0052433F">
        <w:t>one</w:t>
      </w:r>
      <w:r w:rsidR="004F392F">
        <w:t xml:space="preserve"> relationship).</w:t>
      </w:r>
      <w:r w:rsidR="00ED5153">
        <w:t xml:space="preserve"> </w:t>
      </w:r>
      <w:r w:rsidR="006657D4">
        <w:t>Nevertheless</w:t>
      </w:r>
      <w:r w:rsidR="00ED5153">
        <w:t>, RAN2 should consider if many</w:t>
      </w:r>
      <w:r w:rsidR="00DB283A">
        <w:t>-to-many relationship should be supported for NTN MBS.</w:t>
      </w:r>
      <w:r w:rsidR="004F392F">
        <w:t xml:space="preserve"> </w:t>
      </w:r>
    </w:p>
    <w:p w14:paraId="62B930A8" w14:textId="3AE12ED2" w:rsidR="004777A3" w:rsidRDefault="00D916D0" w:rsidP="00823ED8">
      <w:pPr>
        <w:rPr>
          <w:b/>
          <w:bCs/>
        </w:rPr>
      </w:pPr>
      <w:r w:rsidRPr="00D916D0">
        <w:rPr>
          <w:b/>
          <w:bCs/>
        </w:rPr>
        <w:t xml:space="preserve">Observation 2: </w:t>
      </w:r>
      <w:r w:rsidR="00A22C77">
        <w:rPr>
          <w:b/>
          <w:bCs/>
        </w:rPr>
        <w:t xml:space="preserve">As per legacy specification </w:t>
      </w:r>
      <w:r w:rsidR="00334A07">
        <w:rPr>
          <w:b/>
          <w:bCs/>
        </w:rPr>
        <w:t xml:space="preserve">One </w:t>
      </w:r>
      <w:r w:rsidR="00D40898">
        <w:rPr>
          <w:b/>
          <w:bCs/>
        </w:rPr>
        <w:t>s</w:t>
      </w:r>
      <w:r w:rsidR="00334A07">
        <w:rPr>
          <w:b/>
          <w:bCs/>
        </w:rPr>
        <w:t xml:space="preserve">ervice can be available in </w:t>
      </w:r>
      <w:r w:rsidR="00A22C77">
        <w:rPr>
          <w:b/>
          <w:bCs/>
        </w:rPr>
        <w:t>a single</w:t>
      </w:r>
      <w:r w:rsidR="00334A07">
        <w:rPr>
          <w:b/>
          <w:bCs/>
        </w:rPr>
        <w:t xml:space="preserve"> service area. One service area can</w:t>
      </w:r>
      <w:r w:rsidR="00D40898">
        <w:rPr>
          <w:b/>
          <w:bCs/>
        </w:rPr>
        <w:t xml:space="preserve"> comprise multiple services.</w:t>
      </w:r>
      <w:r w:rsidR="000907D9">
        <w:rPr>
          <w:b/>
          <w:bCs/>
        </w:rPr>
        <w:t xml:space="preserve"> </w:t>
      </w:r>
    </w:p>
    <w:p w14:paraId="1BE6AA6F" w14:textId="6BCE0714" w:rsidR="00D40898" w:rsidRDefault="004777A3" w:rsidP="00823ED8">
      <w:pPr>
        <w:rPr>
          <w:b/>
          <w:bCs/>
        </w:rPr>
      </w:pPr>
      <w:r>
        <w:rPr>
          <w:b/>
          <w:bCs/>
        </w:rPr>
        <w:t xml:space="preserve">Proposal 1: RAN2 to consider if </w:t>
      </w:r>
      <w:r w:rsidRPr="004777A3">
        <w:rPr>
          <w:b/>
          <w:bCs/>
        </w:rPr>
        <w:t>many-to-many relationship should be supported for NTN MBS</w:t>
      </w:r>
      <w:r>
        <w:rPr>
          <w:b/>
          <w:bCs/>
        </w:rPr>
        <w:t xml:space="preserve"> service and service area.</w:t>
      </w:r>
      <w:r w:rsidR="00F8041C" w:rsidRPr="00D916D0">
        <w:rPr>
          <w:b/>
          <w:bCs/>
        </w:rPr>
        <w:t xml:space="preserve"> </w:t>
      </w:r>
      <w:r w:rsidR="00FB444F" w:rsidRPr="00D916D0">
        <w:rPr>
          <w:b/>
          <w:bCs/>
        </w:rPr>
        <w:t xml:space="preserve"> </w:t>
      </w:r>
    </w:p>
    <w:p w14:paraId="2D763A6A" w14:textId="262195C8" w:rsidR="00C06836" w:rsidRDefault="00C06836" w:rsidP="00823ED8">
      <w:r>
        <w:t>When inspect</w:t>
      </w:r>
      <w:r w:rsidR="00AC472F">
        <w:t>ing</w:t>
      </w:r>
      <w:r>
        <w:t xml:space="preserve"> the NR RRC </w:t>
      </w:r>
      <w:r>
        <w:fldChar w:fldCharType="begin"/>
      </w:r>
      <w:r>
        <w:instrText xml:space="preserve"> REF _Ref187160805 \r \h </w:instrText>
      </w:r>
      <w:r>
        <w:fldChar w:fldCharType="separate"/>
      </w:r>
      <w:r>
        <w:t>[5]</w:t>
      </w:r>
      <w:r>
        <w:fldChar w:fldCharType="end"/>
      </w:r>
      <w:r>
        <w:t xml:space="preserve">, it can be found that </w:t>
      </w:r>
      <w:r w:rsidR="008C01F2">
        <w:t xml:space="preserve">MCCH comprises </w:t>
      </w:r>
      <w:proofErr w:type="spellStart"/>
      <w:r w:rsidR="008C01F2" w:rsidRPr="00C06836">
        <w:rPr>
          <w:i/>
          <w:iCs/>
        </w:rPr>
        <w:t>MBSMulticastConfiguration</w:t>
      </w:r>
      <w:proofErr w:type="spellEnd"/>
      <w:r w:rsidR="008C01F2" w:rsidRPr="00C06836">
        <w:rPr>
          <w:i/>
          <w:iCs/>
        </w:rPr>
        <w:t xml:space="preserve"> </w:t>
      </w:r>
      <w:r w:rsidR="008C01F2">
        <w:t>which can have a list of MBS sessions</w:t>
      </w:r>
      <w:r w:rsidR="00EB7C26">
        <w:t xml:space="preserve"> (i.e. </w:t>
      </w:r>
      <w:r w:rsidR="00EB7C26" w:rsidRPr="00C06836">
        <w:rPr>
          <w:i/>
          <w:iCs/>
        </w:rPr>
        <w:t>MBS-</w:t>
      </w:r>
      <w:proofErr w:type="spellStart"/>
      <w:r w:rsidR="00EB7C26" w:rsidRPr="00C06836">
        <w:rPr>
          <w:i/>
          <w:iCs/>
        </w:rPr>
        <w:t>SessionInfoListMulticast</w:t>
      </w:r>
      <w:proofErr w:type="spellEnd"/>
      <w:r w:rsidR="00EB7C26">
        <w:t xml:space="preserve"> IE).</w:t>
      </w:r>
      <w:r w:rsidR="00A54D8F">
        <w:t xml:space="preserve"> Thus, under each of such sessions (i.e. </w:t>
      </w:r>
      <w:r w:rsidR="00A54D8F" w:rsidRPr="00C06836">
        <w:rPr>
          <w:i/>
          <w:iCs/>
        </w:rPr>
        <w:t>MBS-</w:t>
      </w:r>
      <w:proofErr w:type="spellStart"/>
      <w:r w:rsidR="00A54D8F" w:rsidRPr="00C06836">
        <w:rPr>
          <w:i/>
          <w:iCs/>
        </w:rPr>
        <w:t>SessionInfo</w:t>
      </w:r>
      <w:proofErr w:type="spellEnd"/>
      <w:r w:rsidR="00A54D8F">
        <w:t>) there needs to be an identifier pointing to a specific service area or areas defined in</w:t>
      </w:r>
      <w:r>
        <w:t xml:space="preserve"> the new SIB.</w:t>
      </w:r>
    </w:p>
    <w:p w14:paraId="25004ED7" w14:textId="59F26D78" w:rsidR="00756BC8" w:rsidRPr="008562AD" w:rsidRDefault="00C06836" w:rsidP="008562AD">
      <w:pPr>
        <w:rPr>
          <w:b/>
          <w:bCs/>
        </w:rPr>
      </w:pPr>
      <w:r w:rsidRPr="00C06836">
        <w:rPr>
          <w:b/>
          <w:bCs/>
        </w:rPr>
        <w:t xml:space="preserve">Proposal </w:t>
      </w:r>
      <w:r w:rsidR="00000A8D">
        <w:rPr>
          <w:b/>
          <w:bCs/>
        </w:rPr>
        <w:t>2</w:t>
      </w:r>
      <w:r w:rsidRPr="00C06836">
        <w:rPr>
          <w:b/>
          <w:bCs/>
        </w:rPr>
        <w:t xml:space="preserve">: Insert a list of service area IDs/indices under each </w:t>
      </w:r>
      <w:r w:rsidRPr="00C06836">
        <w:rPr>
          <w:b/>
          <w:bCs/>
          <w:i/>
          <w:iCs/>
        </w:rPr>
        <w:t>MBS-</w:t>
      </w:r>
      <w:proofErr w:type="spellStart"/>
      <w:r w:rsidRPr="00C06836">
        <w:rPr>
          <w:b/>
          <w:bCs/>
          <w:i/>
          <w:iCs/>
        </w:rPr>
        <w:t>SessionInfo</w:t>
      </w:r>
      <w:proofErr w:type="spellEnd"/>
      <w:r w:rsidRPr="00C06836">
        <w:rPr>
          <w:b/>
          <w:bCs/>
        </w:rPr>
        <w:t xml:space="preserve"> provided in MCCH.</w:t>
      </w:r>
    </w:p>
    <w:p w14:paraId="224F9056" w14:textId="780B6966" w:rsidR="0034322A" w:rsidRDefault="0034322A">
      <w:pPr>
        <w:pStyle w:val="Heading2"/>
      </w:pPr>
      <w:r>
        <w:lastRenderedPageBreak/>
        <w:t>2.2</w:t>
      </w:r>
      <w:r>
        <w:tab/>
        <w:t>ETWS Primary Notification</w:t>
      </w:r>
    </w:p>
    <w:p w14:paraId="2D069C35" w14:textId="48EF9557" w:rsidR="0034322A" w:rsidRDefault="00F13C23" w:rsidP="0034322A">
      <w:r>
        <w:t>SA1 has</w:t>
      </w:r>
      <w:r w:rsidR="00F16839">
        <w:t xml:space="preserve"> attempted to</w:t>
      </w:r>
      <w:r>
        <w:t xml:space="preserve"> address the issue described in our LS</w:t>
      </w:r>
      <w:r w:rsidR="00A41C68">
        <w:t xml:space="preserve"> </w:t>
      </w:r>
      <w:r w:rsidR="00A41C68">
        <w:fldChar w:fldCharType="begin"/>
      </w:r>
      <w:r w:rsidR="00A41C68">
        <w:instrText xml:space="preserve"> REF _Ref187223404 \r \h </w:instrText>
      </w:r>
      <w:r w:rsidR="00A41C68">
        <w:fldChar w:fldCharType="separate"/>
      </w:r>
      <w:r w:rsidR="00A41C68">
        <w:t>[7]</w:t>
      </w:r>
      <w:r w:rsidR="00A41C68">
        <w:fldChar w:fldCharType="end"/>
      </w:r>
      <w:r>
        <w:t xml:space="preserve"> and agreed a corresponding CR </w:t>
      </w:r>
      <w:r>
        <w:fldChar w:fldCharType="begin"/>
      </w:r>
      <w:r>
        <w:instrText xml:space="preserve"> REF _Ref187222761 \r \h </w:instrText>
      </w:r>
      <w:r>
        <w:fldChar w:fldCharType="separate"/>
      </w:r>
      <w:r>
        <w:t>[5]</w:t>
      </w:r>
      <w:r>
        <w:fldChar w:fldCharType="end"/>
      </w:r>
      <w:r w:rsidR="001901AA">
        <w:t>.</w:t>
      </w:r>
      <w:r w:rsidR="00F16839">
        <w:t xml:space="preserve"> In </w:t>
      </w:r>
      <w:r w:rsidR="00F16839">
        <w:fldChar w:fldCharType="begin"/>
      </w:r>
      <w:r w:rsidR="00F16839">
        <w:instrText xml:space="preserve"> REF _Ref187223486 \r \h </w:instrText>
      </w:r>
      <w:r w:rsidR="00F16839">
        <w:fldChar w:fldCharType="separate"/>
      </w:r>
      <w:r w:rsidR="00F16839">
        <w:t>[7]</w:t>
      </w:r>
      <w:r w:rsidR="00F16839">
        <w:fldChar w:fldCharType="end"/>
      </w:r>
      <w:r w:rsidR="00F16839">
        <w:t xml:space="preserve"> RAN2 has asked the following:</w:t>
      </w:r>
    </w:p>
    <w:tbl>
      <w:tblPr>
        <w:tblStyle w:val="TableGrid"/>
        <w:tblW w:w="0" w:type="auto"/>
        <w:tblLook w:val="04A0" w:firstRow="1" w:lastRow="0" w:firstColumn="1" w:lastColumn="0" w:noHBand="0" w:noVBand="1"/>
      </w:tblPr>
      <w:tblGrid>
        <w:gridCol w:w="9631"/>
      </w:tblGrid>
      <w:tr w:rsidR="00F16839" w14:paraId="5B379DB5" w14:textId="77777777" w:rsidTr="00F16839">
        <w:tc>
          <w:tcPr>
            <w:tcW w:w="9631" w:type="dxa"/>
          </w:tcPr>
          <w:p w14:paraId="11829FC2" w14:textId="4A38C8B7" w:rsidR="00F16839" w:rsidRDefault="00F16839" w:rsidP="0034322A">
            <w:r w:rsidRPr="00F16839">
              <w:t>RAN2 kindly request SA1 to take the above information into account and provide feedback whether the capability to geofence emergency messages to an area should be supported for ETWS in a NTN cell, considering the delay requirements for ETWS primary notification.</w:t>
            </w:r>
          </w:p>
        </w:tc>
      </w:tr>
    </w:tbl>
    <w:p w14:paraId="4A031113" w14:textId="77F754F9" w:rsidR="00F16839" w:rsidRDefault="00720571" w:rsidP="0034322A">
      <w:r>
        <w:br/>
        <w:t xml:space="preserve">whereas SA1 CR provides the following new requirement </w:t>
      </w:r>
      <w:r>
        <w:fldChar w:fldCharType="begin"/>
      </w:r>
      <w:r>
        <w:instrText xml:space="preserve"> REF _Ref187222761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31"/>
      </w:tblGrid>
      <w:tr w:rsidR="00720571" w14:paraId="01E34812" w14:textId="77777777" w:rsidTr="00720571">
        <w:tc>
          <w:tcPr>
            <w:tcW w:w="9631" w:type="dxa"/>
          </w:tcPr>
          <w:p w14:paraId="5A36BFE9" w14:textId="77777777" w:rsidR="00720571" w:rsidRPr="00720571" w:rsidRDefault="00720571" w:rsidP="00720571">
            <w:pPr>
              <w:keepNext/>
              <w:keepLines/>
              <w:overflowPunct w:val="0"/>
              <w:autoSpaceDE w:val="0"/>
              <w:autoSpaceDN w:val="0"/>
              <w:adjustRightInd w:val="0"/>
              <w:spacing w:before="180"/>
              <w:ind w:left="1134" w:hanging="1134"/>
              <w:outlineLvl w:val="1"/>
              <w:rPr>
                <w:rFonts w:ascii="Arial" w:hAnsi="Arial"/>
                <w:sz w:val="32"/>
              </w:rPr>
            </w:pPr>
            <w:r w:rsidRPr="00720571">
              <w:rPr>
                <w:rFonts w:ascii="Arial" w:eastAsia="MS PGothic" w:hAnsi="Arial"/>
                <w:sz w:val="32"/>
              </w:rPr>
              <w:t>5.6</w:t>
            </w:r>
            <w:r w:rsidRPr="00720571">
              <w:rPr>
                <w:rFonts w:ascii="Arial" w:eastAsia="MS PGothic" w:hAnsi="Arial"/>
                <w:sz w:val="32"/>
              </w:rPr>
              <w:tab/>
            </w:r>
            <w:r w:rsidRPr="00720571">
              <w:rPr>
                <w:rFonts w:ascii="Arial" w:eastAsia="MS PGothic" w:hAnsi="Arial"/>
                <w:sz w:val="32"/>
                <w:lang w:val="en-US"/>
              </w:rPr>
              <w:t>Additional PWS Requirements Specific to ETWS</w:t>
            </w:r>
          </w:p>
          <w:p w14:paraId="016D2983" w14:textId="77777777" w:rsidR="00720571" w:rsidRPr="00720571" w:rsidRDefault="00720571" w:rsidP="00720571">
            <w:pPr>
              <w:spacing w:after="160" w:line="259" w:lineRule="auto"/>
            </w:pPr>
            <w:r w:rsidRPr="00720571">
              <w:t>Subject to local/regional regulatory requirements, in addition to ETWS Primary and Secondary Notifications, ETWS shall be able to support broadcasting Warning Notification Area(s). This requirement applies to Satellite E-UTRAN and Satellite NG-RAN.</w:t>
            </w:r>
          </w:p>
          <w:p w14:paraId="50A916FA" w14:textId="3720CEF7" w:rsidR="00720571" w:rsidRPr="00720571" w:rsidRDefault="00720571" w:rsidP="00720571">
            <w:pPr>
              <w:spacing w:after="160" w:line="259" w:lineRule="auto"/>
              <w:rPr>
                <w:rFonts w:ascii="Aptos" w:eastAsia="Aptos" w:hAnsi="Aptos"/>
                <w:kern w:val="2"/>
                <w:lang w:val="en-US"/>
                <w14:ligatures w14:val="standardContextual"/>
              </w:rPr>
            </w:pPr>
            <w:r w:rsidRPr="00720571">
              <w:t>Subject to local/regional regulatory requirements, an</w:t>
            </w:r>
            <w:r w:rsidRPr="00720571">
              <w:rPr>
                <w:lang w:val="en-US"/>
              </w:rPr>
              <w:t xml:space="preserve"> </w:t>
            </w:r>
            <w:r w:rsidRPr="00720571">
              <w:t>ETWS</w:t>
            </w:r>
            <w:r w:rsidRPr="00720571">
              <w:rPr>
                <w:lang w:val="en-US"/>
              </w:rPr>
              <w:t xml:space="preserve">-capable UE shall present the received ETWS Notification(s) (Primary or Secondary) if there is a corresponding Warning Notification Area(s) and if the </w:t>
            </w:r>
            <w:r w:rsidRPr="00720571">
              <w:t>ETWS</w:t>
            </w:r>
            <w:r w:rsidRPr="00720571">
              <w:rPr>
                <w:lang w:val="en-US"/>
              </w:rPr>
              <w:t xml:space="preserve">-capable UE is able to determine that its location is within the corresponding Warning Notification Area(s). Otherwise, if an </w:t>
            </w:r>
            <w:r w:rsidRPr="00720571">
              <w:t>ETWS</w:t>
            </w:r>
            <w:r w:rsidRPr="00720571">
              <w:rPr>
                <w:lang w:val="en-US"/>
              </w:rPr>
              <w:t xml:space="preserve">-capable UE is unable to or fails to determine its location, the </w:t>
            </w:r>
            <w:r w:rsidRPr="00720571">
              <w:t>ETWS</w:t>
            </w:r>
            <w:r w:rsidRPr="00720571">
              <w:rPr>
                <w:lang w:val="en-US"/>
              </w:rPr>
              <w:t xml:space="preserve">-capable UE shall present the </w:t>
            </w:r>
            <w:r w:rsidRPr="00720571">
              <w:t>ETWS</w:t>
            </w:r>
            <w:r w:rsidRPr="00720571">
              <w:rPr>
                <w:lang w:val="en-US"/>
              </w:rPr>
              <w:t xml:space="preserve"> Notification(s) (Primary or Secondary) to the user.</w:t>
            </w:r>
          </w:p>
        </w:tc>
      </w:tr>
    </w:tbl>
    <w:p w14:paraId="46F04639" w14:textId="77777777" w:rsidR="00773AC5" w:rsidRDefault="009A5C84" w:rsidP="0034322A">
      <w:r>
        <w:br/>
      </w:r>
      <w:r w:rsidR="00720571">
        <w:t xml:space="preserve">According to the additional PWS requirement applicable to ETWS, defined recently by SA1, </w:t>
      </w:r>
      <w:r w:rsidR="00773AC5">
        <w:t xml:space="preserve">the UE capable of ETWS shall be able to present the ETWS notification if the UE is able to determine it is within the Warning Notification Area. If the UE is unable to determine its location (i.e. within or outside the Warning Notification Area) it shall also present the ETWS notification. </w:t>
      </w:r>
    </w:p>
    <w:p w14:paraId="32E2550A" w14:textId="4E03A956" w:rsidR="00773AC5" w:rsidRPr="00805751" w:rsidRDefault="00773AC5" w:rsidP="0034322A">
      <w:pPr>
        <w:rPr>
          <w:b/>
          <w:bCs/>
        </w:rPr>
      </w:pPr>
      <w:r w:rsidRPr="00805751">
        <w:rPr>
          <w:b/>
          <w:bCs/>
        </w:rPr>
        <w:t>Observation 3:</w:t>
      </w:r>
      <w:r w:rsidR="00805751" w:rsidRPr="00805751">
        <w:rPr>
          <w:b/>
          <w:bCs/>
        </w:rPr>
        <w:t xml:space="preserve"> According to SA1, ETWS-capable UE shall present the ETWS notification if the UE is able to determine it is within the Warning Notification Area or when the UE is unable to determine its location.</w:t>
      </w:r>
    </w:p>
    <w:p w14:paraId="3CF28CC7" w14:textId="0B34EB58" w:rsidR="008E11BF" w:rsidRDefault="0042249B" w:rsidP="0034322A">
      <w:r>
        <w:t>Th</w:t>
      </w:r>
      <w:r w:rsidR="007D534B">
        <w:t>e latter in Observation 3</w:t>
      </w:r>
      <w:r>
        <w:t xml:space="preserve"> may result in lots of false alerts if the UE</w:t>
      </w:r>
      <w:r w:rsidR="00FB63D8">
        <w:t>,</w:t>
      </w:r>
      <w:r>
        <w:t xml:space="preserve"> for any reason</w:t>
      </w:r>
      <w:r w:rsidR="00FB63D8">
        <w:t>,</w:t>
      </w:r>
      <w:r>
        <w:t xml:space="preserve"> does not have its location information available</w:t>
      </w:r>
      <w:r w:rsidR="007D534B">
        <w:t xml:space="preserve"> at the time Warning Notification Area is broadcast along with ETWS. E.g. imagine</w:t>
      </w:r>
      <w:r w:rsidR="00FB63D8">
        <w:t xml:space="preserve"> a large NTN cell covering hundreds of kilometres in southern USA and Gulf of Mexico</w:t>
      </w:r>
      <w:r w:rsidR="0004150A">
        <w:t xml:space="preserve"> (if that is still the valid name)</w:t>
      </w:r>
      <w:r w:rsidR="00FB63D8">
        <w:t>.</w:t>
      </w:r>
      <w:r w:rsidR="007D534B">
        <w:t xml:space="preserve"> </w:t>
      </w:r>
      <w:r w:rsidR="00FB63D8">
        <w:t>T</w:t>
      </w:r>
      <w:r w:rsidR="007D534B">
        <w:t>he</w:t>
      </w:r>
      <w:r w:rsidR="00FB63D8">
        <w:t xml:space="preserve"> UE is located in Orlando (FL), while the ETWS concerns Dallas (TX)</w:t>
      </w:r>
      <w:r w:rsidR="008E11BF">
        <w:t>. The UE fails to assess its geo-position, so the ETWS notification is displayed to the user</w:t>
      </w:r>
      <w:r w:rsidR="00055191">
        <w:t xml:space="preserve"> in Orlando</w:t>
      </w:r>
      <w:r w:rsidR="00E779AC">
        <w:t xml:space="preserve"> even though it should not be alerted</w:t>
      </w:r>
      <w:r w:rsidR="008E11BF">
        <w:t>.</w:t>
      </w:r>
    </w:p>
    <w:p w14:paraId="6F9F7471" w14:textId="77777777" w:rsidR="00E779AC" w:rsidRDefault="008E11BF" w:rsidP="0034322A">
      <w:pPr>
        <w:rPr>
          <w:b/>
          <w:bCs/>
        </w:rPr>
      </w:pPr>
      <w:r w:rsidRPr="008E11BF">
        <w:rPr>
          <w:b/>
          <w:bCs/>
        </w:rPr>
        <w:t>Observation 4:</w:t>
      </w:r>
      <w:r w:rsidR="00E779AC">
        <w:rPr>
          <w:b/>
          <w:bCs/>
        </w:rPr>
        <w:t xml:space="preserve"> The SA1 requirement to display ETWS warning when UE has not assessed its location may lead to false alerts.</w:t>
      </w:r>
    </w:p>
    <w:p w14:paraId="35E3C24F" w14:textId="77777777" w:rsidR="00D03A71" w:rsidRDefault="00E779AC" w:rsidP="0034322A">
      <w:r w:rsidRPr="00BF428B">
        <w:t xml:space="preserve">On the other hand, one can ask whether the UE in NTN cell may </w:t>
      </w:r>
      <w:r w:rsidR="00BF428B">
        <w:t>not have a valid location information as without such awareness the UE cannot perform any UL transmissions (</w:t>
      </w:r>
      <w:r w:rsidR="00D03A71">
        <w:t xml:space="preserve">i.e. </w:t>
      </w:r>
      <w:r w:rsidR="00BF428B">
        <w:t>the UE needs to pre-compensate time and frequency shift using</w:t>
      </w:r>
      <w:r w:rsidR="00D03A71">
        <w:t xml:space="preserve"> its location and satellite ephemeris</w:t>
      </w:r>
      <w:r w:rsidR="00BF428B">
        <w:t>).</w:t>
      </w:r>
    </w:p>
    <w:p w14:paraId="58FCF47E" w14:textId="4E36316A" w:rsidR="0042249B" w:rsidRPr="00D03A71" w:rsidRDefault="00D03A71" w:rsidP="0034322A">
      <w:pPr>
        <w:rPr>
          <w:b/>
          <w:bCs/>
        </w:rPr>
      </w:pPr>
      <w:r w:rsidRPr="00D03A71">
        <w:rPr>
          <w:b/>
          <w:bCs/>
        </w:rPr>
        <w:t>Observation 5: NTN-capable UE performing UL transmission needs to anyway have a valid location information.</w:t>
      </w:r>
      <w:r w:rsidR="00BF428B" w:rsidRPr="00D03A71">
        <w:rPr>
          <w:b/>
          <w:bCs/>
        </w:rPr>
        <w:t xml:space="preserve"> </w:t>
      </w:r>
      <w:r w:rsidR="008E11BF" w:rsidRPr="00D03A71">
        <w:rPr>
          <w:b/>
          <w:bCs/>
        </w:rPr>
        <w:t xml:space="preserve">  </w:t>
      </w:r>
      <w:r w:rsidR="007D534B" w:rsidRPr="00D03A71">
        <w:rPr>
          <w:b/>
          <w:bCs/>
        </w:rPr>
        <w:t xml:space="preserve"> </w:t>
      </w:r>
      <w:r w:rsidR="0042249B" w:rsidRPr="00D03A71">
        <w:rPr>
          <w:b/>
          <w:bCs/>
        </w:rPr>
        <w:t xml:space="preserve"> </w:t>
      </w:r>
    </w:p>
    <w:p w14:paraId="16D6A48C" w14:textId="0FB5DC4C" w:rsidR="00F61836" w:rsidRDefault="00845A00" w:rsidP="0034322A">
      <w:r>
        <w:t xml:space="preserve">As it is expected the ETWS area could be smaller than </w:t>
      </w:r>
      <w:r w:rsidR="00D14F99">
        <w:t xml:space="preserve">NTN cell footprint (i.e. see the description above, preceding Observation 4), it may be worth </w:t>
      </w:r>
      <w:r w:rsidR="007B46A2">
        <w:t>find</w:t>
      </w:r>
      <w:r w:rsidR="00C9753E">
        <w:t>ing</w:t>
      </w:r>
      <w:r w:rsidR="007B46A2">
        <w:t xml:space="preserve"> means</w:t>
      </w:r>
      <w:r w:rsidR="008850D9">
        <w:t xml:space="preserve"> </w:t>
      </w:r>
      <w:r w:rsidR="00E55B59">
        <w:t xml:space="preserve">to avoid alerting UEs outside of the ETWS </w:t>
      </w:r>
      <w:r w:rsidR="008018AD">
        <w:t>area but</w:t>
      </w:r>
      <w:r w:rsidR="00E55B59">
        <w:t xml:space="preserve"> </w:t>
      </w:r>
      <w:r w:rsidR="00352F9C">
        <w:t xml:space="preserve">located </w:t>
      </w:r>
      <w:r w:rsidR="00E55B59">
        <w:t>within the same NTN cell (i.e. receiving the same System Information).</w:t>
      </w:r>
    </w:p>
    <w:p w14:paraId="6092D153" w14:textId="4ED10795" w:rsidR="00E55B59" w:rsidRDefault="00864175" w:rsidP="0034322A">
      <w:pPr>
        <w:rPr>
          <w:b/>
          <w:bCs/>
        </w:rPr>
      </w:pPr>
      <w:r w:rsidRPr="00864175">
        <w:rPr>
          <w:b/>
          <w:bCs/>
        </w:rPr>
        <w:t xml:space="preserve">Observation </w:t>
      </w:r>
      <w:r w:rsidR="000E5F42">
        <w:rPr>
          <w:b/>
          <w:bCs/>
        </w:rPr>
        <w:t>6</w:t>
      </w:r>
      <w:r w:rsidRPr="00864175">
        <w:rPr>
          <w:b/>
          <w:bCs/>
        </w:rPr>
        <w:t xml:space="preserve">: </w:t>
      </w:r>
      <w:r w:rsidR="008018AD">
        <w:rPr>
          <w:b/>
          <w:bCs/>
        </w:rPr>
        <w:t>ETWS area is likely to cover a smaller area than NTN cell’s footprint</w:t>
      </w:r>
      <w:r w:rsidRPr="00864175">
        <w:rPr>
          <w:b/>
          <w:bCs/>
        </w:rPr>
        <w:t>.</w:t>
      </w:r>
    </w:p>
    <w:p w14:paraId="31043A7A" w14:textId="441CACE8" w:rsidR="000A3E38" w:rsidRPr="00864175" w:rsidRDefault="000A3E38" w:rsidP="0034322A">
      <w:pPr>
        <w:rPr>
          <w:b/>
          <w:bCs/>
        </w:rPr>
      </w:pPr>
      <w:r>
        <w:rPr>
          <w:b/>
          <w:bCs/>
        </w:rPr>
        <w:t xml:space="preserve">Observation </w:t>
      </w:r>
      <w:r w:rsidR="000E5F42">
        <w:rPr>
          <w:b/>
          <w:bCs/>
        </w:rPr>
        <w:t>7</w:t>
      </w:r>
      <w:r>
        <w:rPr>
          <w:b/>
          <w:bCs/>
        </w:rPr>
        <w:t xml:space="preserve">: </w:t>
      </w:r>
      <w:r w:rsidR="002A3281">
        <w:rPr>
          <w:b/>
          <w:bCs/>
        </w:rPr>
        <w:t xml:space="preserve">It is beneficial if UEs </w:t>
      </w:r>
      <w:r w:rsidR="002A3281" w:rsidRPr="002A3281">
        <w:rPr>
          <w:b/>
          <w:bCs/>
        </w:rPr>
        <w:t>outside of the ETWS area but located within the same NTN cell (i.e. receiving the same System Information)</w:t>
      </w:r>
      <w:r w:rsidR="002A3281">
        <w:rPr>
          <w:b/>
          <w:bCs/>
        </w:rPr>
        <w:t xml:space="preserve"> are not alerted.</w:t>
      </w:r>
    </w:p>
    <w:p w14:paraId="4EDB196F" w14:textId="2F1D382C" w:rsidR="00E55B59" w:rsidRDefault="006C79DD" w:rsidP="0034322A">
      <w:r>
        <w:t xml:space="preserve">To achieve such goal, </w:t>
      </w:r>
      <w:r w:rsidR="00A01539">
        <w:t xml:space="preserve">the UE should be told </w:t>
      </w:r>
      <w:r w:rsidR="001224D6">
        <w:t xml:space="preserve">where the intended ETWS area actually is. </w:t>
      </w:r>
      <w:r w:rsidR="00312400">
        <w:t xml:space="preserve">In the simplest approach the </w:t>
      </w:r>
      <w:r w:rsidR="002A2D66">
        <w:t xml:space="preserve">reference location + radius, known from </w:t>
      </w:r>
      <w:r w:rsidR="00243874">
        <w:t>Rel-18 terrestrial coverage</w:t>
      </w:r>
      <w:r w:rsidR="00C40DD6">
        <w:t xml:space="preserve"> (TN)</w:t>
      </w:r>
      <w:r w:rsidR="00243874">
        <w:t xml:space="preserve"> area signalling</w:t>
      </w:r>
      <w:r w:rsidR="002A2D66">
        <w:t>, can be reused.</w:t>
      </w:r>
      <w:r w:rsidR="00825732">
        <w:t xml:space="preserve"> Such information can be delivered to the UE in SIB</w:t>
      </w:r>
      <w:r w:rsidR="00C40DD6">
        <w:t>.</w:t>
      </w:r>
    </w:p>
    <w:p w14:paraId="104642D7" w14:textId="1B220897" w:rsidR="00825732" w:rsidRPr="007A3828" w:rsidRDefault="00825732" w:rsidP="0034322A">
      <w:pPr>
        <w:rPr>
          <w:b/>
          <w:bCs/>
        </w:rPr>
      </w:pPr>
      <w:r w:rsidRPr="007A3828">
        <w:rPr>
          <w:b/>
          <w:bCs/>
        </w:rPr>
        <w:lastRenderedPageBreak/>
        <w:t xml:space="preserve">Proposal </w:t>
      </w:r>
      <w:r w:rsidR="00000A8D">
        <w:rPr>
          <w:b/>
          <w:bCs/>
        </w:rPr>
        <w:t>3</w:t>
      </w:r>
      <w:r w:rsidRPr="007A3828">
        <w:rPr>
          <w:b/>
          <w:bCs/>
        </w:rPr>
        <w:t xml:space="preserve">: </w:t>
      </w:r>
      <w:r w:rsidR="009354F5" w:rsidRPr="007A3828">
        <w:rPr>
          <w:b/>
          <w:bCs/>
        </w:rPr>
        <w:t>RAN2 considers a solution wherein the UE is given the geographical coordinates associated with the ETWS notification area</w:t>
      </w:r>
      <w:r w:rsidR="007A3828" w:rsidRPr="007A3828">
        <w:rPr>
          <w:b/>
          <w:bCs/>
        </w:rPr>
        <w:t>.</w:t>
      </w:r>
    </w:p>
    <w:p w14:paraId="2E71DCEC" w14:textId="77777777" w:rsidR="000E5F42" w:rsidRDefault="000E5F42" w:rsidP="000E5F42">
      <w:r>
        <w:t xml:space="preserve">Furthermore, RAN2 in the original LS </w:t>
      </w:r>
      <w:r>
        <w:fldChar w:fldCharType="begin"/>
      </w:r>
      <w:r>
        <w:instrText xml:space="preserve"> REF _Ref187223486 \r \h </w:instrText>
      </w:r>
      <w:r>
        <w:fldChar w:fldCharType="separate"/>
      </w:r>
      <w:r>
        <w:t>[7]</w:t>
      </w:r>
      <w:r>
        <w:fldChar w:fldCharType="end"/>
      </w:r>
      <w:r>
        <w:t xml:space="preserve"> has asked about “delay requirements for ETWS primary notification” which SA1 has not taken into account (or at least nothing is explicitly stated in the agreed CR’s text). </w:t>
      </w:r>
    </w:p>
    <w:p w14:paraId="4042EABE" w14:textId="03B04733" w:rsidR="007A3828" w:rsidRPr="00303517" w:rsidRDefault="000E5F42" w:rsidP="0034322A">
      <w:pPr>
        <w:rPr>
          <w:b/>
          <w:bCs/>
        </w:rPr>
      </w:pPr>
      <w:r w:rsidRPr="00FB014B">
        <w:rPr>
          <w:b/>
          <w:bCs/>
        </w:rPr>
        <w:t xml:space="preserve">Observation </w:t>
      </w:r>
      <w:r w:rsidR="00203D64">
        <w:rPr>
          <w:b/>
          <w:bCs/>
        </w:rPr>
        <w:t>8</w:t>
      </w:r>
      <w:r w:rsidRPr="00FB014B">
        <w:rPr>
          <w:b/>
          <w:bCs/>
        </w:rPr>
        <w:t xml:space="preserve">: RAN2 has asked SA1 to consider ETWS Primary Notification delay requirements in their work on the geofencing for ETWS. This </w:t>
      </w:r>
      <w:r>
        <w:rPr>
          <w:b/>
          <w:bCs/>
        </w:rPr>
        <w:t xml:space="preserve">apparently </w:t>
      </w:r>
      <w:r w:rsidRPr="00FB014B">
        <w:rPr>
          <w:b/>
          <w:bCs/>
        </w:rPr>
        <w:t>has not happened in SA1 as per agreed CR in S1-244753.</w:t>
      </w:r>
    </w:p>
    <w:p w14:paraId="77D5D4E8" w14:textId="4F5CB5F3" w:rsidR="00B85937" w:rsidRDefault="00B85937" w:rsidP="00531EC4">
      <w:pPr>
        <w:pStyle w:val="Heading2"/>
        <w:jc w:val="both"/>
      </w:pPr>
      <w:r>
        <w:t>2.</w:t>
      </w:r>
      <w:r w:rsidR="0034322A">
        <w:t>3</w:t>
      </w:r>
      <w:r>
        <w:tab/>
      </w:r>
      <w:r w:rsidR="00823ED8">
        <w:t>MBS Interest Indication (MII)</w:t>
      </w:r>
    </w:p>
    <w:p w14:paraId="0C73C021" w14:textId="77777777" w:rsidR="00823ED8" w:rsidRDefault="00823ED8" w:rsidP="0096250F">
      <w:r>
        <w:t>At RAN2#127bis the following has been discussed and not resolved :</w:t>
      </w:r>
    </w:p>
    <w:tbl>
      <w:tblPr>
        <w:tblStyle w:val="TableGrid"/>
        <w:tblW w:w="0" w:type="auto"/>
        <w:tblLook w:val="04A0" w:firstRow="1" w:lastRow="0" w:firstColumn="1" w:lastColumn="0" w:noHBand="0" w:noVBand="1"/>
      </w:tblPr>
      <w:tblGrid>
        <w:gridCol w:w="9631"/>
      </w:tblGrid>
      <w:tr w:rsidR="00823ED8" w14:paraId="44D90C43" w14:textId="77777777" w:rsidTr="00823ED8">
        <w:tc>
          <w:tcPr>
            <w:tcW w:w="9631" w:type="dxa"/>
          </w:tcPr>
          <w:p w14:paraId="02E5323A" w14:textId="77777777" w:rsidR="00823ED8" w:rsidRDefault="00823ED8" w:rsidP="00823ED8">
            <w:pPr>
              <w:pStyle w:val="Comments"/>
              <w:rPr>
                <w:lang w:val="en-US" w:eastAsia="ko-KR"/>
              </w:rPr>
            </w:pPr>
            <w:r w:rsidRPr="007F6118">
              <w:rPr>
                <w:lang w:val="en-US" w:eastAsia="ko-KR"/>
              </w:rPr>
              <w:t>Proposal 4: For an MBS broadcast service intended for a certain area, a R19 UE supporting the feature may initiate the MBS Interest Indication procedure when UE is entering or leaving the intended area.</w:t>
            </w:r>
          </w:p>
          <w:p w14:paraId="2DC49D15" w14:textId="77777777" w:rsidR="00823ED8" w:rsidRDefault="00823ED8" w:rsidP="00823ED8">
            <w:pPr>
              <w:pStyle w:val="Doc-text2"/>
              <w:rPr>
                <w:lang w:val="en-US" w:eastAsia="ko-KR"/>
              </w:rPr>
            </w:pPr>
            <w:r>
              <w:rPr>
                <w:lang w:val="en-US" w:eastAsia="ko-KR"/>
              </w:rPr>
              <w:t>-</w:t>
            </w:r>
            <w:r>
              <w:rPr>
                <w:lang w:val="en-US" w:eastAsia="ko-KR"/>
              </w:rPr>
              <w:tab/>
              <w:t>QC thinks this is up to UE and there is nothing to reflect in the spec. Xiaomi agrees</w:t>
            </w:r>
          </w:p>
          <w:p w14:paraId="6ACB0971" w14:textId="77777777" w:rsidR="00823ED8" w:rsidRDefault="00823ED8" w:rsidP="00823ED8">
            <w:pPr>
              <w:pStyle w:val="Doc-text2"/>
              <w:rPr>
                <w:lang w:val="en-US" w:eastAsia="ko-KR"/>
              </w:rPr>
            </w:pPr>
            <w:r>
              <w:rPr>
                <w:lang w:val="en-US" w:eastAsia="ko-KR"/>
              </w:rPr>
              <w:t>-</w:t>
            </w:r>
            <w:r>
              <w:rPr>
                <w:lang w:val="en-US" w:eastAsia="ko-KR"/>
              </w:rPr>
              <w:tab/>
              <w:t xml:space="preserve">HW thinks that when entering the area this makes </w:t>
            </w:r>
            <w:proofErr w:type="gramStart"/>
            <w:r>
              <w:rPr>
                <w:lang w:val="en-US" w:eastAsia="ko-KR"/>
              </w:rPr>
              <w:t>sense, but</w:t>
            </w:r>
            <w:proofErr w:type="gramEnd"/>
            <w:r>
              <w:rPr>
                <w:lang w:val="en-US" w:eastAsia="ko-KR"/>
              </w:rPr>
              <w:t xml:space="preserve"> wonder about the case when the UE leaves the area.</w:t>
            </w:r>
          </w:p>
          <w:p w14:paraId="0A362A97" w14:textId="77777777" w:rsidR="00823ED8" w:rsidRDefault="00823ED8" w:rsidP="00823ED8">
            <w:pPr>
              <w:pStyle w:val="Doc-text2"/>
              <w:rPr>
                <w:lang w:val="en-US" w:eastAsia="ko-KR"/>
              </w:rPr>
            </w:pPr>
            <w:r>
              <w:rPr>
                <w:lang w:val="en-US" w:eastAsia="ko-KR"/>
              </w:rPr>
              <w:t>-</w:t>
            </w:r>
            <w:r>
              <w:rPr>
                <w:lang w:val="en-US" w:eastAsia="ko-KR"/>
              </w:rPr>
              <w:tab/>
              <w:t>Apple thinks the UE could initiate the MII procedure in any case and then it’s up to NW implementation how to behave. LG agrees with Apple. Oppo also agrees. CMCC thinks in this case the NW has no idea of the UE location in this case.</w:t>
            </w:r>
          </w:p>
          <w:p w14:paraId="2D80E4DF" w14:textId="5F9C630D" w:rsidR="00823ED8" w:rsidRPr="00823ED8" w:rsidRDefault="00823ED8" w:rsidP="0096250F">
            <w:pPr>
              <w:pStyle w:val="Agreement"/>
              <w:rPr>
                <w:lang w:val="en-US" w:eastAsia="ko-KR"/>
              </w:rPr>
            </w:pPr>
            <w:r>
              <w:rPr>
                <w:lang w:val="en-US" w:eastAsia="ko-KR"/>
              </w:rPr>
              <w:t xml:space="preserve">Come back in the next meeting </w:t>
            </w:r>
          </w:p>
        </w:tc>
      </w:tr>
    </w:tbl>
    <w:p w14:paraId="00225D8C" w14:textId="58EDC10C" w:rsidR="00823ED8" w:rsidRDefault="00823ED8" w:rsidP="0096250F">
      <w:r>
        <w:t xml:space="preserve"> </w:t>
      </w:r>
      <w:r w:rsidR="00C3353C">
        <w:br/>
        <w:t xml:space="preserve">In section 5.9.4.2 of </w:t>
      </w:r>
      <w:r w:rsidR="00F13C23">
        <w:fldChar w:fldCharType="begin"/>
      </w:r>
      <w:r w:rsidR="00F13C23">
        <w:instrText xml:space="preserve"> REF _Ref187160805 \r \h </w:instrText>
      </w:r>
      <w:r w:rsidR="00F13C23">
        <w:fldChar w:fldCharType="separate"/>
      </w:r>
      <w:r w:rsidR="008562AD">
        <w:t>[6]</w:t>
      </w:r>
      <w:r w:rsidR="00F13C23">
        <w:fldChar w:fldCharType="end"/>
      </w:r>
      <w:r w:rsidR="00C3353C">
        <w:t xml:space="preserve"> the following text can be found:</w:t>
      </w:r>
    </w:p>
    <w:tbl>
      <w:tblPr>
        <w:tblStyle w:val="TableGrid"/>
        <w:tblW w:w="0" w:type="auto"/>
        <w:tblLook w:val="04A0" w:firstRow="1" w:lastRow="0" w:firstColumn="1" w:lastColumn="0" w:noHBand="0" w:noVBand="1"/>
      </w:tblPr>
      <w:tblGrid>
        <w:gridCol w:w="9631"/>
      </w:tblGrid>
      <w:tr w:rsidR="00C3353C" w14:paraId="4E11FA93" w14:textId="77777777" w:rsidTr="00C3353C">
        <w:tc>
          <w:tcPr>
            <w:tcW w:w="9631" w:type="dxa"/>
          </w:tcPr>
          <w:p w14:paraId="108B60EC" w14:textId="1359C27F" w:rsidR="00C3353C" w:rsidRDefault="00C3353C" w:rsidP="0096250F">
            <w:r w:rsidRPr="00C3353C">
              <w:rPr>
                <w:lang w:eastAsia="zh-CN"/>
              </w:rP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C3353C">
              <w:rPr>
                <w:lang w:eastAsia="zh-CN"/>
              </w:rPr>
              <w:t>PCell</w:t>
            </w:r>
            <w:proofErr w:type="spellEnd"/>
            <w:r w:rsidRPr="00C3353C">
              <w:rPr>
                <w:lang w:eastAsia="zh-CN"/>
              </w:rPr>
              <w:t xml:space="preserve"> providing </w:t>
            </w:r>
            <w:r w:rsidRPr="00C3353C">
              <w:rPr>
                <w:i/>
                <w:lang w:eastAsia="zh-CN"/>
              </w:rPr>
              <w:t>SIB21</w:t>
            </w:r>
            <w:r w:rsidRPr="00C3353C">
              <w:rPr>
                <w:lang w:eastAsia="zh-CN"/>
              </w:rPr>
              <w:t xml:space="preserve"> (i.e. where the </w:t>
            </w:r>
            <w:r w:rsidRPr="00C3353C">
              <w:rPr>
                <w:i/>
                <w:lang w:eastAsia="zh-CN"/>
              </w:rPr>
              <w:t>SIB1</w:t>
            </w:r>
            <w:r w:rsidRPr="00C3353C">
              <w:rPr>
                <w:lang w:eastAsia="zh-CN"/>
              </w:rPr>
              <w:t xml:space="preserve"> scheduling information contains </w:t>
            </w:r>
            <w:r w:rsidRPr="00C3353C">
              <w:rPr>
                <w:i/>
                <w:lang w:eastAsia="zh-CN"/>
              </w:rPr>
              <w:t>SIB21</w:t>
            </w:r>
            <w:r w:rsidRPr="00C3353C">
              <w:rPr>
                <w:lang w:eastAsia="zh-CN"/>
              </w:rPr>
              <w:t xml:space="preserve">), upon receiving </w:t>
            </w:r>
            <w:r w:rsidRPr="00C3353C">
              <w:rPr>
                <w:i/>
                <w:lang w:eastAsia="zh-CN"/>
              </w:rPr>
              <w:t>SIB20</w:t>
            </w:r>
            <w:r w:rsidRPr="00C3353C">
              <w:rPr>
                <w:lang w:eastAsia="zh-CN"/>
              </w:rPr>
              <w:t xml:space="preserve"> of an SCell via dedicated signalling, upon handover, and upon RRC connection re-establishment, </w:t>
            </w:r>
            <w:r w:rsidRPr="00C3353C">
              <w:rPr>
                <w:bCs/>
                <w:lang w:eastAsia="zh-CN"/>
              </w:rPr>
              <w:t xml:space="preserve">upon change to a </w:t>
            </w:r>
            <w:proofErr w:type="spellStart"/>
            <w:r w:rsidRPr="00C3353C">
              <w:rPr>
                <w:bCs/>
                <w:lang w:eastAsia="zh-CN"/>
              </w:rPr>
              <w:t>PCell</w:t>
            </w:r>
            <w:proofErr w:type="spellEnd"/>
            <w:r w:rsidRPr="00C3353C">
              <w:rPr>
                <w:bCs/>
                <w:lang w:eastAsia="zh-CN"/>
              </w:rPr>
              <w:t xml:space="preserve"> providing </w:t>
            </w:r>
            <w:proofErr w:type="spellStart"/>
            <w:r w:rsidRPr="00C3353C">
              <w:rPr>
                <w:bCs/>
                <w:i/>
                <w:lang w:eastAsia="zh-CN"/>
              </w:rPr>
              <w:t>nonServingCellMII</w:t>
            </w:r>
            <w:proofErr w:type="spellEnd"/>
            <w:r w:rsidRPr="00C3353C">
              <w:rPr>
                <w:bCs/>
                <w:lang w:eastAsia="zh-CN"/>
              </w:rPr>
              <w:t xml:space="preserve"> in </w:t>
            </w:r>
            <w:r w:rsidRPr="00C3353C">
              <w:rPr>
                <w:bCs/>
                <w:i/>
                <w:lang w:eastAsia="zh-CN"/>
              </w:rPr>
              <w:t>SIB1</w:t>
            </w:r>
            <w:r w:rsidRPr="00C3353C">
              <w:rPr>
                <w:lang w:eastAsia="zh-CN"/>
              </w:rPr>
              <w:t>, upon starting or stopping reception of MBS broadcast service on a non-serving cell, upon change of CFR information or subcarrier spacing for MBS broadcast reception on a non-serving cell.</w:t>
            </w:r>
          </w:p>
        </w:tc>
      </w:tr>
    </w:tbl>
    <w:p w14:paraId="149C033C" w14:textId="25A22021" w:rsidR="00D654D6" w:rsidRDefault="00C3353C" w:rsidP="0096250F">
      <w:r>
        <w:br/>
      </w:r>
      <w:r w:rsidR="00876C43">
        <w:t xml:space="preserve">As can be seen, the </w:t>
      </w:r>
      <w:r w:rsidR="00D654D6">
        <w:t xml:space="preserve">MII might be sent when UE enters or leaves the broadcast service </w:t>
      </w:r>
      <w:proofErr w:type="gramStart"/>
      <w:r w:rsidR="00D654D6">
        <w:t>area</w:t>
      </w:r>
      <w:proofErr w:type="gramEnd"/>
      <w:r w:rsidR="00D654D6">
        <w:t xml:space="preserve"> and this is already supported by NR RRC </w:t>
      </w:r>
      <w:r w:rsidR="008562AD">
        <w:fldChar w:fldCharType="begin"/>
      </w:r>
      <w:r w:rsidR="008562AD">
        <w:instrText xml:space="preserve"> REF _Ref187160805 \r \h </w:instrText>
      </w:r>
      <w:r w:rsidR="008562AD">
        <w:fldChar w:fldCharType="separate"/>
      </w:r>
      <w:r w:rsidR="008562AD">
        <w:t>[6]</w:t>
      </w:r>
      <w:r w:rsidR="008562AD">
        <w:fldChar w:fldCharType="end"/>
      </w:r>
      <w:r w:rsidR="00D654D6">
        <w:t>.</w:t>
      </w:r>
    </w:p>
    <w:p w14:paraId="28057A93" w14:textId="1CA827CD" w:rsidR="00C3353C" w:rsidRPr="00CE6574" w:rsidRDefault="00D654D6" w:rsidP="0096250F">
      <w:pPr>
        <w:rPr>
          <w:b/>
          <w:bCs/>
        </w:rPr>
      </w:pPr>
      <w:r w:rsidRPr="00CE6574">
        <w:rPr>
          <w:b/>
          <w:bCs/>
        </w:rPr>
        <w:t xml:space="preserve">Observation </w:t>
      </w:r>
      <w:r w:rsidR="00632E7B">
        <w:rPr>
          <w:b/>
          <w:bCs/>
        </w:rPr>
        <w:t>9</w:t>
      </w:r>
      <w:r w:rsidRPr="00CE6574">
        <w:rPr>
          <w:b/>
          <w:bCs/>
        </w:rPr>
        <w:t xml:space="preserve">: </w:t>
      </w:r>
      <w:r w:rsidR="00332D15" w:rsidRPr="00CE6574">
        <w:rPr>
          <w:b/>
          <w:bCs/>
        </w:rPr>
        <w:t xml:space="preserve">As per legacy NR RRC the MBS capable UE may send the MBS Interest Indication upon entering </w:t>
      </w:r>
      <w:r w:rsidR="00CE6574" w:rsidRPr="00CE6574">
        <w:rPr>
          <w:b/>
          <w:bCs/>
        </w:rPr>
        <w:t>or leaving the broadcast service area</w:t>
      </w:r>
      <w:r w:rsidRPr="00CE6574">
        <w:rPr>
          <w:b/>
          <w:bCs/>
        </w:rPr>
        <w:t>.</w:t>
      </w:r>
    </w:p>
    <w:p w14:paraId="5A08B36C" w14:textId="649FFEE5" w:rsidR="00C26BA6" w:rsidRDefault="008F2EE1" w:rsidP="00C26BA6">
      <w:r>
        <w:t xml:space="preserve">Thus, it </w:t>
      </w:r>
      <w:r w:rsidR="0014576D">
        <w:t>that</w:t>
      </w:r>
      <w:r>
        <w:t xml:space="preserve"> nothing new has to be agreed for MBS</w:t>
      </w:r>
      <w:r w:rsidR="00750873">
        <w:t xml:space="preserve"> II</w:t>
      </w:r>
      <w:r>
        <w:t xml:space="preserve"> in NTN. </w:t>
      </w:r>
      <w:r w:rsidR="00B8410D">
        <w:t xml:space="preserve">Furthermore, the behaviour described in </w:t>
      </w:r>
      <w:r w:rsidR="008562AD">
        <w:fldChar w:fldCharType="begin"/>
      </w:r>
      <w:r w:rsidR="008562AD">
        <w:instrText xml:space="preserve"> REF _Ref187160805 \r \h </w:instrText>
      </w:r>
      <w:r w:rsidR="008562AD">
        <w:fldChar w:fldCharType="separate"/>
      </w:r>
      <w:r w:rsidR="008562AD">
        <w:t>[6]</w:t>
      </w:r>
      <w:r w:rsidR="008562AD">
        <w:fldChar w:fldCharType="end"/>
      </w:r>
      <w:r w:rsidR="00B8410D">
        <w:t xml:space="preserve"> is not binding (the term used in the procedure is “UE may initiate”), so in our view this issue is not worth spending additional time.</w:t>
      </w:r>
      <w:r w:rsidR="00C26BA6">
        <w:t xml:space="preserve"> Note that the MII feature can be used by the UE in case UE cannot find the MBS broadcast service that it is expecting in a cell. </w:t>
      </w:r>
      <w:r w:rsidR="003F086E">
        <w:t xml:space="preserve">That would make, e.g., a </w:t>
      </w:r>
      <w:proofErr w:type="spellStart"/>
      <w:r w:rsidR="003F086E">
        <w:t>gNB</w:t>
      </w:r>
      <w:proofErr w:type="spellEnd"/>
      <w:r w:rsidR="003F086E">
        <w:t xml:space="preserve"> decide</w:t>
      </w:r>
      <w:r w:rsidR="00750873">
        <w:t>s</w:t>
      </w:r>
      <w:r w:rsidR="003F086E">
        <w:t xml:space="preserve"> whether to handover the UE to a possible </w:t>
      </w:r>
      <w:proofErr w:type="spellStart"/>
      <w:r w:rsidR="003F086E">
        <w:t>neighbor</w:t>
      </w:r>
      <w:proofErr w:type="spellEnd"/>
      <w:r w:rsidR="003F086E">
        <w:t xml:space="preserve"> </w:t>
      </w:r>
      <w:proofErr w:type="spellStart"/>
      <w:r w:rsidR="003F086E">
        <w:t>gNB</w:t>
      </w:r>
      <w:proofErr w:type="spellEnd"/>
      <w:r w:rsidR="003F086E">
        <w:t>/cell providing MBS broadcast service UE has interest</w:t>
      </w:r>
      <w:r w:rsidR="00750873">
        <w:t xml:space="preserve"> in</w:t>
      </w:r>
      <w:r w:rsidR="003F086E">
        <w:t xml:space="preserve">. </w:t>
      </w:r>
      <w:r w:rsidR="00C26BA6">
        <w:t>Thus, as</w:t>
      </w:r>
      <w:r w:rsidR="00750873">
        <w:t xml:space="preserve"> has been indicated at RAN2#127bis,</w:t>
      </w:r>
      <w:r w:rsidR="00C26BA6">
        <w:t xml:space="preserve"> it is a UE implementation </w:t>
      </w:r>
      <w:proofErr w:type="gramStart"/>
      <w:r w:rsidR="00C26BA6">
        <w:t>issue</w:t>
      </w:r>
      <w:proofErr w:type="gramEnd"/>
      <w:r w:rsidR="00534ECF">
        <w:t xml:space="preserve"> and a UE can decide when to send the MII (which could be </w:t>
      </w:r>
      <w:r w:rsidR="00750873">
        <w:t>somehow related to</w:t>
      </w:r>
      <w:r w:rsidR="00534ECF">
        <w:t xml:space="preserve"> the intended service area)</w:t>
      </w:r>
      <w:r w:rsidR="00C26BA6">
        <w:t xml:space="preserve">. </w:t>
      </w:r>
    </w:p>
    <w:p w14:paraId="56CE9528" w14:textId="7A0BA6C1" w:rsidR="00B8410D" w:rsidRPr="00B8410D" w:rsidRDefault="00B8410D" w:rsidP="0096250F">
      <w:pPr>
        <w:rPr>
          <w:b/>
          <w:bCs/>
        </w:rPr>
      </w:pPr>
      <w:r w:rsidRPr="00B8410D">
        <w:rPr>
          <w:b/>
          <w:bCs/>
        </w:rPr>
        <w:t xml:space="preserve">Proposal </w:t>
      </w:r>
      <w:r w:rsidR="00000A8D">
        <w:rPr>
          <w:b/>
          <w:bCs/>
        </w:rPr>
        <w:t>4</w:t>
      </w:r>
      <w:r w:rsidRPr="00B8410D">
        <w:rPr>
          <w:b/>
          <w:bCs/>
        </w:rPr>
        <w:t>: RAN2 does not specify any new behaviour with respect to MBS Interest Indication when Rel-19 NTN capable UE enters or leaves the MBS broadcast service area.</w:t>
      </w:r>
    </w:p>
    <w:p w14:paraId="7AE499C6" w14:textId="59E4038B" w:rsidR="00823ED8" w:rsidRDefault="00823ED8">
      <w:pPr>
        <w:pStyle w:val="Heading2"/>
      </w:pPr>
      <w:r>
        <w:t>2.</w:t>
      </w:r>
      <w:r w:rsidR="0034322A">
        <w:t>4</w:t>
      </w:r>
      <w:r w:rsidR="00593A3E">
        <w:t xml:space="preserve"> </w:t>
      </w:r>
      <w:r w:rsidR="00CA42DD">
        <w:tab/>
      </w:r>
      <w:r w:rsidR="00593A3E">
        <w:t xml:space="preserve">Configuration aspects of </w:t>
      </w:r>
      <w:proofErr w:type="spellStart"/>
      <w:r w:rsidR="00593A3E">
        <w:t>MBSBroadcastConfiguration</w:t>
      </w:r>
      <w:proofErr w:type="spellEnd"/>
      <w:r w:rsidR="00BB6C7A">
        <w:t xml:space="preserve"> and service continuity</w:t>
      </w:r>
      <w:r w:rsidR="00707362">
        <w:t xml:space="preserve"> in SIB21</w:t>
      </w:r>
    </w:p>
    <w:p w14:paraId="7B7ABB7B" w14:textId="36166558" w:rsidR="001A3A22" w:rsidRDefault="001A3A22" w:rsidP="001A3A22">
      <w:r>
        <w:t xml:space="preserve">At RAN2#127bis the following has been discussed and not </w:t>
      </w:r>
      <w:r w:rsidR="00887682">
        <w:t>decided</w:t>
      </w:r>
      <w:r>
        <w:t xml:space="preserve"> :</w:t>
      </w:r>
    </w:p>
    <w:tbl>
      <w:tblPr>
        <w:tblStyle w:val="TableGrid"/>
        <w:tblW w:w="0" w:type="auto"/>
        <w:tblLook w:val="04A0" w:firstRow="1" w:lastRow="0" w:firstColumn="1" w:lastColumn="0" w:noHBand="0" w:noVBand="1"/>
      </w:tblPr>
      <w:tblGrid>
        <w:gridCol w:w="9631"/>
      </w:tblGrid>
      <w:tr w:rsidR="001A3A22" w14:paraId="0B148093" w14:textId="77777777" w:rsidTr="00FC1884">
        <w:tc>
          <w:tcPr>
            <w:tcW w:w="9631" w:type="dxa"/>
          </w:tcPr>
          <w:p w14:paraId="1A9A40E6" w14:textId="77777777" w:rsidR="00BB6C7A" w:rsidRPr="007F6118" w:rsidRDefault="001A3A22" w:rsidP="00BB6C7A">
            <w:pPr>
              <w:pStyle w:val="Comments"/>
              <w:rPr>
                <w:lang w:val="en-US" w:eastAsia="ko-KR"/>
              </w:rPr>
            </w:pPr>
            <w:r>
              <w:rPr>
                <w:lang w:val="en-US" w:eastAsia="ko-KR"/>
              </w:rPr>
              <w:t xml:space="preserve"> </w:t>
            </w:r>
            <w:r w:rsidR="00BB6C7A" w:rsidRPr="00443CD6">
              <w:rPr>
                <w:highlight w:val="yellow"/>
                <w:lang w:val="en-US" w:eastAsia="ko-KR"/>
              </w:rPr>
              <w:t>In MBSBroadcastConfiguration, the intended service area within each neighbor cell is provided for each MBS broadcast service session.</w:t>
            </w:r>
          </w:p>
          <w:p w14:paraId="2AB881F6" w14:textId="27C1295E" w:rsidR="00BB6C7A" w:rsidRDefault="00BB6C7A" w:rsidP="00BB6C7A">
            <w:pPr>
              <w:pStyle w:val="Comments"/>
              <w:rPr>
                <w:lang w:val="en-US" w:eastAsia="ko-KR"/>
              </w:rPr>
            </w:pPr>
            <w:r w:rsidRPr="00443CD6">
              <w:rPr>
                <w:highlight w:val="green"/>
                <w:lang w:val="en-US" w:eastAsia="ko-KR"/>
              </w:rPr>
              <w:t>In SIB21, the intended service area is provided for each MBS broadcast service session, or for each FSAI (depending on common understanding selected).</w:t>
            </w:r>
          </w:p>
          <w:p w14:paraId="035E7C02" w14:textId="77777777" w:rsidR="00BB6C7A" w:rsidRDefault="00BB6C7A" w:rsidP="00BB6C7A">
            <w:pPr>
              <w:pStyle w:val="Doc-text2"/>
              <w:rPr>
                <w:lang w:val="en-US" w:eastAsia="ko-KR"/>
              </w:rPr>
            </w:pPr>
            <w:r>
              <w:rPr>
                <w:lang w:val="en-US" w:eastAsia="ko-KR"/>
              </w:rPr>
              <w:lastRenderedPageBreak/>
              <w:t>-</w:t>
            </w:r>
            <w:r>
              <w:rPr>
                <w:lang w:val="en-US" w:eastAsia="ko-KR"/>
              </w:rPr>
              <w:tab/>
              <w:t>Ericsson thinks we should</w:t>
            </w:r>
            <w:r w:rsidRPr="00DA6708">
              <w:rPr>
                <w:lang w:val="en-US" w:eastAsia="ko-KR"/>
              </w:rPr>
              <w:t xml:space="preserve"> focus on the scenario where the quasi-Earth-fixed cell is replaced due to satellite movement</w:t>
            </w:r>
          </w:p>
          <w:p w14:paraId="5AC810B2" w14:textId="77777777" w:rsidR="00BB6C7A" w:rsidRDefault="00BB6C7A" w:rsidP="00BB6C7A">
            <w:pPr>
              <w:pStyle w:val="Doc-text2"/>
              <w:rPr>
                <w:lang w:val="en-US" w:eastAsia="ko-KR"/>
              </w:rPr>
            </w:pPr>
            <w:r>
              <w:rPr>
                <w:lang w:val="en-US" w:eastAsia="ko-KR"/>
              </w:rPr>
              <w:t>-</w:t>
            </w:r>
            <w:r>
              <w:rPr>
                <w:lang w:val="en-US" w:eastAsia="ko-KR"/>
              </w:rPr>
              <w:tab/>
              <w:t>ZTE thinks we currently support both and then supports p4</w:t>
            </w:r>
          </w:p>
          <w:p w14:paraId="483570CE" w14:textId="77777777" w:rsidR="00BB6C7A" w:rsidRDefault="00BB6C7A" w:rsidP="00BB6C7A">
            <w:pPr>
              <w:pStyle w:val="Doc-text2"/>
              <w:rPr>
                <w:lang w:val="en-US" w:eastAsia="ko-KR"/>
              </w:rPr>
            </w:pPr>
            <w:r>
              <w:rPr>
                <w:lang w:val="en-US" w:eastAsia="ko-KR"/>
              </w:rPr>
              <w:t>-</w:t>
            </w:r>
            <w:r>
              <w:rPr>
                <w:lang w:val="en-US" w:eastAsia="ko-KR"/>
              </w:rPr>
              <w:tab/>
              <w:t>QC also thinks both scenarios should be supported.</w:t>
            </w:r>
          </w:p>
          <w:p w14:paraId="45355724" w14:textId="77777777" w:rsidR="00BB6C7A" w:rsidRDefault="00BB6C7A" w:rsidP="00BB6C7A">
            <w:pPr>
              <w:pStyle w:val="Doc-text2"/>
              <w:rPr>
                <w:lang w:val="en-US" w:eastAsia="ko-KR"/>
              </w:rPr>
            </w:pPr>
            <w:r>
              <w:rPr>
                <w:lang w:val="en-US" w:eastAsia="ko-KR"/>
              </w:rPr>
              <w:t>-</w:t>
            </w:r>
            <w:r>
              <w:rPr>
                <w:lang w:val="en-US" w:eastAsia="ko-KR"/>
              </w:rPr>
              <w:tab/>
              <w:t xml:space="preserve">HW thinks this covers the case of UE movement. For the satellite movement there would be no difference </w:t>
            </w:r>
            <w:proofErr w:type="spellStart"/>
            <w:r>
              <w:rPr>
                <w:lang w:val="en-US" w:eastAsia="ko-KR"/>
              </w:rPr>
              <w:t>wrt</w:t>
            </w:r>
            <w:proofErr w:type="spellEnd"/>
            <w:r>
              <w:rPr>
                <w:lang w:val="en-US" w:eastAsia="ko-KR"/>
              </w:rPr>
              <w:t xml:space="preserve"> previous releases. HW is ok to reflect the second part of p4</w:t>
            </w:r>
          </w:p>
          <w:p w14:paraId="2A5CE4C9" w14:textId="77777777" w:rsidR="00BB6C7A" w:rsidRDefault="00BB6C7A" w:rsidP="00BB6C7A">
            <w:pPr>
              <w:pStyle w:val="Doc-text2"/>
              <w:rPr>
                <w:lang w:val="en-US" w:eastAsia="ko-KR"/>
              </w:rPr>
            </w:pPr>
            <w:r>
              <w:rPr>
                <w:lang w:val="en-US" w:eastAsia="ko-KR"/>
              </w:rPr>
              <w:t>-</w:t>
            </w:r>
            <w:r>
              <w:rPr>
                <w:lang w:val="en-US" w:eastAsia="ko-KR"/>
              </w:rPr>
              <w:tab/>
              <w:t>Ericsson disagrees with the proposal as there is no need for service continuity for this. Apple thinks this is needed for cell reselection.</w:t>
            </w:r>
          </w:p>
          <w:p w14:paraId="48C1AB4A" w14:textId="77777777" w:rsidR="00BB6C7A" w:rsidRDefault="00BB6C7A" w:rsidP="00BB6C7A">
            <w:pPr>
              <w:pStyle w:val="Doc-text2"/>
              <w:rPr>
                <w:lang w:val="en-US" w:eastAsia="ko-KR"/>
              </w:rPr>
            </w:pPr>
            <w:r>
              <w:rPr>
                <w:lang w:val="en-US" w:eastAsia="ko-KR"/>
              </w:rPr>
              <w:t>-</w:t>
            </w:r>
            <w:r>
              <w:rPr>
                <w:lang w:val="en-US" w:eastAsia="ko-KR"/>
              </w:rPr>
              <w:tab/>
              <w:t xml:space="preserve">CATT wonders whether we really need to provide the service area for service continuity, in a per </w:t>
            </w:r>
            <w:proofErr w:type="spellStart"/>
            <w:r>
              <w:rPr>
                <w:lang w:val="en-US" w:eastAsia="ko-KR"/>
              </w:rPr>
              <w:t>neighbour</w:t>
            </w:r>
            <w:proofErr w:type="spellEnd"/>
            <w:r>
              <w:rPr>
                <w:lang w:val="en-US" w:eastAsia="ko-KR"/>
              </w:rPr>
              <w:t xml:space="preserve"> cell way.</w:t>
            </w:r>
          </w:p>
          <w:p w14:paraId="48D51F88" w14:textId="77777777" w:rsidR="00BB6C7A" w:rsidRDefault="00BB6C7A" w:rsidP="00BB6C7A">
            <w:pPr>
              <w:pStyle w:val="Doc-text2"/>
              <w:rPr>
                <w:lang w:val="en-US" w:eastAsia="ko-KR"/>
              </w:rPr>
            </w:pPr>
            <w:r>
              <w:rPr>
                <w:lang w:val="en-US" w:eastAsia="ko-KR"/>
              </w:rPr>
              <w:t>-</w:t>
            </w:r>
            <w:r>
              <w:rPr>
                <w:lang w:val="en-US" w:eastAsia="ko-KR"/>
              </w:rPr>
              <w:tab/>
              <w:t>Ericsson thinks we need to clarify the UE behavior when receiving this information</w:t>
            </w:r>
          </w:p>
          <w:p w14:paraId="33278298" w14:textId="77777777" w:rsidR="00BB6C7A" w:rsidRDefault="00BB6C7A" w:rsidP="00BB6C7A">
            <w:pPr>
              <w:pStyle w:val="Agreement"/>
              <w:rPr>
                <w:lang w:val="en-US" w:eastAsia="ko-KR"/>
              </w:rPr>
            </w:pPr>
            <w:r>
              <w:rPr>
                <w:lang w:val="en-US" w:eastAsia="ko-KR"/>
              </w:rPr>
              <w:t>Come back in the next meeting</w:t>
            </w:r>
          </w:p>
          <w:p w14:paraId="5A2CFDE1" w14:textId="0DC9C110" w:rsidR="001A3A22" w:rsidRPr="00823ED8" w:rsidRDefault="001A3A22" w:rsidP="00887682">
            <w:pPr>
              <w:pStyle w:val="Agreement"/>
              <w:numPr>
                <w:ilvl w:val="0"/>
                <w:numId w:val="0"/>
              </w:numPr>
              <w:rPr>
                <w:lang w:val="en-US" w:eastAsia="ko-KR"/>
              </w:rPr>
            </w:pPr>
          </w:p>
        </w:tc>
      </w:tr>
    </w:tbl>
    <w:p w14:paraId="255B2796" w14:textId="27B8CD7C" w:rsidR="00823ED8" w:rsidRDefault="00886807" w:rsidP="00823ED8">
      <w:r>
        <w:lastRenderedPageBreak/>
        <w:t xml:space="preserve">As can be seen in </w:t>
      </w:r>
      <w:r w:rsidR="008562AD">
        <w:fldChar w:fldCharType="begin"/>
      </w:r>
      <w:r w:rsidR="008562AD">
        <w:instrText xml:space="preserve"> REF _Ref187160805 \r \h </w:instrText>
      </w:r>
      <w:r w:rsidR="008562AD">
        <w:fldChar w:fldCharType="separate"/>
      </w:r>
      <w:r w:rsidR="008562AD">
        <w:t>[6]</w:t>
      </w:r>
      <w:r w:rsidR="008562AD">
        <w:fldChar w:fldCharType="end"/>
      </w:r>
      <w:r>
        <w:t xml:space="preserve">, </w:t>
      </w:r>
      <w:r w:rsidRPr="00886807">
        <w:rPr>
          <w:i/>
          <w:iCs/>
        </w:rPr>
        <w:t>MBS-</w:t>
      </w:r>
      <w:proofErr w:type="spellStart"/>
      <w:r w:rsidRPr="00886807">
        <w:rPr>
          <w:i/>
          <w:iCs/>
        </w:rPr>
        <w:t>SessionInfo</w:t>
      </w:r>
      <w:proofErr w:type="spellEnd"/>
      <w:r>
        <w:t xml:space="preserve"> (a part of </w:t>
      </w:r>
      <w:proofErr w:type="spellStart"/>
      <w:r w:rsidRPr="00886807">
        <w:rPr>
          <w:i/>
          <w:iCs/>
        </w:rPr>
        <w:t>MBSBroadcastConfiguration</w:t>
      </w:r>
      <w:proofErr w:type="spellEnd"/>
      <w:r>
        <w:t xml:space="preserve">) comprises </w:t>
      </w:r>
      <w:proofErr w:type="spellStart"/>
      <w:r w:rsidRPr="007B6DE9">
        <w:rPr>
          <w:i/>
          <w:iCs/>
        </w:rPr>
        <w:t>mtch-neighbourCell</w:t>
      </w:r>
      <w:proofErr w:type="spellEnd"/>
      <w:r>
        <w:t xml:space="preserve">. This IE indicates neighbour cells which provide this service on MTCH. Thus, </w:t>
      </w:r>
      <w:r w:rsidR="00AB4497">
        <w:t xml:space="preserve">achieving </w:t>
      </w:r>
      <w:r w:rsidRPr="00443CD6">
        <w:rPr>
          <w:highlight w:val="yellow"/>
        </w:rPr>
        <w:t>th</w:t>
      </w:r>
      <w:r w:rsidR="000251DA" w:rsidRPr="00443CD6">
        <w:rPr>
          <w:highlight w:val="yellow"/>
        </w:rPr>
        <w:t>e</w:t>
      </w:r>
      <w:r w:rsidR="00AB4497" w:rsidRPr="00443CD6">
        <w:rPr>
          <w:highlight w:val="yellow"/>
        </w:rPr>
        <w:t xml:space="preserve"> first</w:t>
      </w:r>
      <w:r w:rsidR="000251DA" w:rsidRPr="00443CD6">
        <w:rPr>
          <w:highlight w:val="yellow"/>
        </w:rPr>
        <w:t xml:space="preserve"> </w:t>
      </w:r>
      <w:r w:rsidR="00AB4497" w:rsidRPr="00443CD6">
        <w:rPr>
          <w:highlight w:val="yellow"/>
        </w:rPr>
        <w:t>goal stated</w:t>
      </w:r>
      <w:r w:rsidR="000251DA" w:rsidRPr="00443CD6">
        <w:rPr>
          <w:highlight w:val="yellow"/>
        </w:rPr>
        <w:t xml:space="preserve"> above</w:t>
      </w:r>
      <w:r w:rsidR="000251DA">
        <w:t xml:space="preserve"> seems to be possible using the existing means (i.e. it is feasible to tell the UE in which neighbouring cells the same service is provided</w:t>
      </w:r>
      <w:r w:rsidR="007B6DE9">
        <w:t>). There is no exact indication about the intended service area, but th</w:t>
      </w:r>
      <w:r w:rsidR="00751951">
        <w:t xml:space="preserve">at is perhaps not critically needed (the UE will know the service area details from its current serving cell). </w:t>
      </w:r>
    </w:p>
    <w:p w14:paraId="56C9C0B0" w14:textId="79B5BFAB" w:rsidR="00751951" w:rsidRPr="00AB4497" w:rsidRDefault="00AB4497" w:rsidP="00823ED8">
      <w:pPr>
        <w:rPr>
          <w:b/>
          <w:bCs/>
        </w:rPr>
      </w:pPr>
      <w:r w:rsidRPr="00AB4497">
        <w:rPr>
          <w:b/>
          <w:bCs/>
        </w:rPr>
        <w:t xml:space="preserve">Proposal </w:t>
      </w:r>
      <w:r w:rsidR="00000A8D">
        <w:rPr>
          <w:b/>
          <w:bCs/>
        </w:rPr>
        <w:t>5:</w:t>
      </w:r>
      <w:r w:rsidRPr="00AB4497">
        <w:rPr>
          <w:b/>
          <w:bCs/>
        </w:rPr>
        <w:t xml:space="preserve"> RAN2 does not work on providing </w:t>
      </w:r>
      <w:r w:rsidRPr="00AB4497">
        <w:rPr>
          <w:b/>
          <w:bCs/>
          <w:lang w:val="en-US" w:eastAsia="ko-KR"/>
        </w:rPr>
        <w:t xml:space="preserve">the intended service area within each neighbor cell for each MBS broadcast service session, as this can be known thanks to </w:t>
      </w:r>
      <w:proofErr w:type="spellStart"/>
      <w:r w:rsidRPr="00AB4497">
        <w:rPr>
          <w:b/>
          <w:bCs/>
          <w:i/>
          <w:iCs/>
        </w:rPr>
        <w:t>mtch-neighbourCell</w:t>
      </w:r>
      <w:proofErr w:type="spellEnd"/>
      <w:r w:rsidRPr="00AB4497">
        <w:rPr>
          <w:b/>
          <w:bCs/>
          <w:lang w:val="en-US" w:eastAsia="ko-KR"/>
        </w:rPr>
        <w:t>.</w:t>
      </w:r>
    </w:p>
    <w:p w14:paraId="291963D1" w14:textId="4830AF01" w:rsidR="00AB4497" w:rsidRDefault="00707362" w:rsidP="00823ED8">
      <w:r>
        <w:t>Regarding the</w:t>
      </w:r>
      <w:r w:rsidR="00CB449E">
        <w:t xml:space="preserve"> second</w:t>
      </w:r>
      <w:r>
        <w:t xml:space="preserve"> aspect </w:t>
      </w:r>
      <w:r w:rsidRPr="00FB0AF9">
        <w:rPr>
          <w:highlight w:val="green"/>
        </w:rPr>
        <w:t>highlighted above</w:t>
      </w:r>
      <w:r>
        <w:t xml:space="preserve">, </w:t>
      </w:r>
      <w:r w:rsidR="00FB0AF9">
        <w:t>whether intended service area is provided in SIB21 for each session or per FSAI</w:t>
      </w:r>
      <w:r w:rsidR="00877B9D">
        <w:t xml:space="preserve">, this would </w:t>
      </w:r>
      <w:r w:rsidR="00127982">
        <w:t>somewhat change/extend the purpose of SIB21</w:t>
      </w:r>
      <w:r>
        <w:t>.</w:t>
      </w:r>
      <w:r w:rsidR="00127982">
        <w:t xml:space="preserve"> SIB21 is defined as follows </w:t>
      </w:r>
      <w:r w:rsidR="008562AD">
        <w:fldChar w:fldCharType="begin"/>
      </w:r>
      <w:r w:rsidR="008562AD">
        <w:instrText xml:space="preserve"> REF _Ref187160805 \r \h </w:instrText>
      </w:r>
      <w:r w:rsidR="008562AD">
        <w:fldChar w:fldCharType="separate"/>
      </w:r>
      <w:r w:rsidR="008562AD">
        <w:t>[6]</w:t>
      </w:r>
      <w:r w:rsidR="008562AD">
        <w:fldChar w:fldCharType="end"/>
      </w:r>
      <w:r w:rsidR="00127982">
        <w:t>:</w:t>
      </w:r>
    </w:p>
    <w:tbl>
      <w:tblPr>
        <w:tblStyle w:val="TableGrid"/>
        <w:tblW w:w="0" w:type="auto"/>
        <w:tblLook w:val="04A0" w:firstRow="1" w:lastRow="0" w:firstColumn="1" w:lastColumn="0" w:noHBand="0" w:noVBand="1"/>
      </w:tblPr>
      <w:tblGrid>
        <w:gridCol w:w="9631"/>
      </w:tblGrid>
      <w:tr w:rsidR="00127982" w14:paraId="65F9A9C8" w14:textId="77777777" w:rsidTr="00127982">
        <w:tc>
          <w:tcPr>
            <w:tcW w:w="9631" w:type="dxa"/>
          </w:tcPr>
          <w:p w14:paraId="3F230707" w14:textId="77777777" w:rsidR="00127982" w:rsidRPr="00127982" w:rsidRDefault="00127982" w:rsidP="00127982">
            <w:pPr>
              <w:overflowPunct w:val="0"/>
              <w:autoSpaceDE w:val="0"/>
              <w:autoSpaceDN w:val="0"/>
              <w:adjustRightInd w:val="0"/>
              <w:textAlignment w:val="baseline"/>
              <w:rPr>
                <w:lang w:eastAsia="zh-CN"/>
              </w:rPr>
            </w:pPr>
            <w:r w:rsidRPr="00127982">
              <w:rPr>
                <w:i/>
                <w:lang w:eastAsia="zh-CN"/>
              </w:rPr>
              <w:t>SIB21</w:t>
            </w:r>
            <w:r w:rsidRPr="00127982">
              <w:rPr>
                <w:iCs/>
                <w:lang w:eastAsia="zh-CN"/>
              </w:rPr>
              <w:t xml:space="preserve"> contains the mapping between the current and/or neighbouring carrier frequencies and MBS Frequency Selection Area Identities (FSAI)</w:t>
            </w:r>
            <w:r w:rsidRPr="00127982">
              <w:rPr>
                <w:lang w:eastAsia="zh-CN"/>
              </w:rPr>
              <w:t>.</w:t>
            </w:r>
          </w:p>
          <w:p w14:paraId="3DD177D4" w14:textId="77777777" w:rsidR="00127982" w:rsidRPr="00127982" w:rsidRDefault="00127982" w:rsidP="00127982">
            <w:pPr>
              <w:keepNext/>
              <w:keepLines/>
              <w:overflowPunct w:val="0"/>
              <w:autoSpaceDE w:val="0"/>
              <w:autoSpaceDN w:val="0"/>
              <w:adjustRightInd w:val="0"/>
              <w:spacing w:before="60"/>
              <w:jc w:val="center"/>
              <w:textAlignment w:val="baseline"/>
              <w:rPr>
                <w:rFonts w:ascii="Arial" w:hAnsi="Arial"/>
                <w:bCs/>
                <w:iCs/>
                <w:lang w:eastAsia="zh-CN"/>
              </w:rPr>
            </w:pPr>
            <w:r w:rsidRPr="00127982">
              <w:rPr>
                <w:rFonts w:ascii="Arial" w:hAnsi="Arial"/>
                <w:b/>
                <w:bCs/>
                <w:i/>
                <w:iCs/>
                <w:lang w:eastAsia="zh-CN"/>
              </w:rPr>
              <w:t xml:space="preserve">SIB21 </w:t>
            </w:r>
            <w:r w:rsidRPr="00127982">
              <w:rPr>
                <w:rFonts w:ascii="Arial" w:hAnsi="Arial"/>
                <w:b/>
                <w:noProof/>
                <w:lang w:eastAsia="zh-CN"/>
              </w:rPr>
              <w:t>information</w:t>
            </w:r>
            <w:r w:rsidRPr="00127982">
              <w:rPr>
                <w:rFonts w:ascii="Arial" w:hAnsi="Arial"/>
                <w:b/>
                <w:bCs/>
                <w:iCs/>
                <w:lang w:eastAsia="zh-CN"/>
              </w:rPr>
              <w:t xml:space="preserve"> element</w:t>
            </w:r>
          </w:p>
          <w:p w14:paraId="27EEC327"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ASN1START</w:t>
            </w:r>
          </w:p>
          <w:p w14:paraId="0DC17F6B"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TAG-SIB21-START</w:t>
            </w:r>
          </w:p>
          <w:p w14:paraId="5341F3F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438A771"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SIB21-r17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p>
          <w:p w14:paraId="2C7C5EB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sz w:val="16"/>
                <w:lang w:eastAsia="zh-CN"/>
              </w:rPr>
              <w:t xml:space="preserve">    mbs-FSAI-IntraFreq-r17                   MBS-FSAI-List-r17                </w:t>
            </w:r>
            <w:r w:rsidRPr="00127982">
              <w:rPr>
                <w:rFonts w:ascii="Courier New" w:hAnsi="Courier New"/>
                <w:noProof/>
                <w:color w:val="993366"/>
                <w:sz w:val="16"/>
                <w:lang w:eastAsia="zh-CN"/>
              </w:rPr>
              <w:t>OPTIONAL</w:t>
            </w:r>
            <w:r w:rsidRPr="00127982">
              <w:rPr>
                <w:rFonts w:ascii="Courier New" w:hAnsi="Courier New"/>
                <w:noProof/>
                <w:sz w:val="16"/>
                <w:lang w:eastAsia="zh-CN"/>
              </w:rPr>
              <w:t xml:space="preserve">,  </w:t>
            </w:r>
            <w:r w:rsidRPr="00127982">
              <w:rPr>
                <w:rFonts w:ascii="Courier New" w:hAnsi="Courier New"/>
                <w:noProof/>
                <w:color w:val="808080"/>
                <w:sz w:val="16"/>
                <w:lang w:eastAsia="zh-CN"/>
              </w:rPr>
              <w:t>-- Need R</w:t>
            </w:r>
          </w:p>
          <w:p w14:paraId="3A49481A"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sz w:val="16"/>
                <w:lang w:eastAsia="zh-CN"/>
              </w:rPr>
              <w:t xml:space="preserve">    mbs-FSAI-InterFreqList-r17               MBS-FSAI-InterFreqList-r17       </w:t>
            </w:r>
            <w:r w:rsidRPr="00127982">
              <w:rPr>
                <w:rFonts w:ascii="Courier New" w:hAnsi="Courier New"/>
                <w:noProof/>
                <w:color w:val="993366"/>
                <w:sz w:val="16"/>
                <w:lang w:eastAsia="zh-CN"/>
              </w:rPr>
              <w:t>OPTIONAL</w:t>
            </w:r>
            <w:r w:rsidRPr="00127982">
              <w:rPr>
                <w:rFonts w:ascii="Courier New" w:hAnsi="Courier New"/>
                <w:noProof/>
                <w:sz w:val="16"/>
                <w:lang w:eastAsia="zh-CN"/>
              </w:rPr>
              <w:t xml:space="preserve">,  </w:t>
            </w:r>
            <w:r w:rsidRPr="00127982">
              <w:rPr>
                <w:rFonts w:ascii="Courier New" w:hAnsi="Courier New"/>
                <w:noProof/>
                <w:color w:val="808080"/>
                <w:sz w:val="16"/>
                <w:lang w:eastAsia="zh-CN"/>
              </w:rPr>
              <w:t>-- Need R</w:t>
            </w:r>
          </w:p>
          <w:p w14:paraId="285FCFD5"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lateNonCriticalExtension                 </w:t>
            </w:r>
            <w:r w:rsidRPr="00127982">
              <w:rPr>
                <w:rFonts w:ascii="Courier New" w:hAnsi="Courier New"/>
                <w:noProof/>
                <w:color w:val="993366"/>
                <w:sz w:val="16"/>
                <w:lang w:eastAsia="zh-CN"/>
              </w:rPr>
              <w:t>OCTET</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STRING</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OPTIONAL</w:t>
            </w:r>
            <w:r w:rsidRPr="00127982">
              <w:rPr>
                <w:rFonts w:ascii="Courier New" w:hAnsi="Courier New"/>
                <w:noProof/>
                <w:sz w:val="16"/>
                <w:lang w:eastAsia="zh-CN"/>
              </w:rPr>
              <w:t>,</w:t>
            </w:r>
          </w:p>
          <w:p w14:paraId="7EB4F5AB"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w:t>
            </w:r>
          </w:p>
          <w:p w14:paraId="7F419269"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w:t>
            </w:r>
          </w:p>
          <w:p w14:paraId="119AB89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7A72DDF"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MBS-FSAI-List-r17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(1..maxFSAI-MBS-r17))</w:t>
            </w:r>
            <w:r w:rsidRPr="00127982">
              <w:rPr>
                <w:rFonts w:ascii="Courier New" w:hAnsi="Courier New"/>
                <w:noProof/>
                <w:color w:val="993366"/>
                <w:sz w:val="16"/>
                <w:lang w:eastAsia="zh-CN"/>
              </w:rPr>
              <w:t xml:space="preserve"> OF</w:t>
            </w:r>
            <w:r w:rsidRPr="00127982">
              <w:rPr>
                <w:rFonts w:ascii="Courier New" w:hAnsi="Courier New"/>
                <w:noProof/>
                <w:sz w:val="16"/>
                <w:lang w:eastAsia="zh-CN"/>
              </w:rPr>
              <w:t xml:space="preserve"> MBS-FSAI-r17</w:t>
            </w:r>
          </w:p>
          <w:p w14:paraId="6397C1BD"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FF06812"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MBS-FSAI-InterFreqList-r17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(1..maxFreq))</w:t>
            </w:r>
            <w:r w:rsidRPr="00127982">
              <w:rPr>
                <w:rFonts w:ascii="Courier New" w:hAnsi="Courier New"/>
                <w:noProof/>
                <w:color w:val="993366"/>
                <w:sz w:val="16"/>
                <w:lang w:eastAsia="zh-CN"/>
              </w:rPr>
              <w:t xml:space="preserve"> OF</w:t>
            </w:r>
            <w:r w:rsidRPr="00127982">
              <w:rPr>
                <w:rFonts w:ascii="Courier New" w:hAnsi="Courier New"/>
                <w:noProof/>
                <w:sz w:val="16"/>
                <w:lang w:eastAsia="zh-CN"/>
              </w:rPr>
              <w:t xml:space="preserve"> MBS-FSAI-InterFreq-r17</w:t>
            </w:r>
          </w:p>
          <w:p w14:paraId="54D55068"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7A85C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MBS-FSAI-InterFreq-r17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p>
          <w:p w14:paraId="756A7DD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dl-CarrierFreq-r17         ARFCN-ValueNR,</w:t>
            </w:r>
          </w:p>
          <w:p w14:paraId="116A0EC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mbs-FSAI-List-r17          MBS-FSAI-List-r17</w:t>
            </w:r>
          </w:p>
          <w:p w14:paraId="2CC4A269"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w:t>
            </w:r>
          </w:p>
          <w:p w14:paraId="0E9754A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E96B76C"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MBS-FSAI-r17 ::= </w:t>
            </w:r>
            <w:r w:rsidRPr="00127982">
              <w:rPr>
                <w:rFonts w:ascii="Courier New" w:hAnsi="Courier New"/>
                <w:noProof/>
                <w:color w:val="993366"/>
                <w:sz w:val="16"/>
                <w:lang w:eastAsia="zh-CN"/>
              </w:rPr>
              <w:t>OCTET</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STRING</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(3))</w:t>
            </w:r>
          </w:p>
          <w:p w14:paraId="57078BA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784F18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TAG-SIB21-STOP</w:t>
            </w:r>
          </w:p>
          <w:p w14:paraId="72E8BF23" w14:textId="1B1B5B95"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ASN1STOP</w:t>
            </w:r>
          </w:p>
        </w:tc>
      </w:tr>
    </w:tbl>
    <w:p w14:paraId="7A1C6B52" w14:textId="3BE68640" w:rsidR="001170BE" w:rsidRDefault="00127982" w:rsidP="00823ED8">
      <w:r>
        <w:br/>
      </w:r>
      <w:r w:rsidR="00DC0BF2">
        <w:t xml:space="preserve">Thus, introducing the service area information to SIB21 </w:t>
      </w:r>
      <w:r w:rsidR="00561E75">
        <w:t>does not match its main purpose (</w:t>
      </w:r>
      <w:r w:rsidR="00495D65">
        <w:t xml:space="preserve">i.e. </w:t>
      </w:r>
      <w:r w:rsidR="00561E75">
        <w:t>frequency mapping to FSAI)</w:t>
      </w:r>
      <w:r w:rsidR="00E4650A">
        <w:t xml:space="preserve">. </w:t>
      </w:r>
      <w:r w:rsidR="001170BE">
        <w:t xml:space="preserve">FSAIs are configured per </w:t>
      </w:r>
      <w:proofErr w:type="spellStart"/>
      <w:r w:rsidR="001170BE">
        <w:t>gNB</w:t>
      </w:r>
      <w:proofErr w:type="spellEnd"/>
      <w:r w:rsidR="001170BE">
        <w:t xml:space="preserve"> or per cell. If </w:t>
      </w:r>
      <w:r w:rsidR="00917AD0">
        <w:t>these are</w:t>
      </w:r>
      <w:r w:rsidR="001170BE">
        <w:t xml:space="preserve"> to be configured per intended service area, this requires </w:t>
      </w:r>
      <w:r w:rsidR="00D23584">
        <w:t xml:space="preserve">lots of changes </w:t>
      </w:r>
      <w:r w:rsidR="00812FC9">
        <w:t xml:space="preserve">to core and service announcements. </w:t>
      </w:r>
      <w:r w:rsidR="00B82087">
        <w:t>Overall, the benefits are limited, if any, while it might have a large specification impact</w:t>
      </w:r>
      <w:r w:rsidR="004F28F9">
        <w:t>, not only in RAN2</w:t>
      </w:r>
      <w:r w:rsidR="00B82087">
        <w:t>.</w:t>
      </w:r>
    </w:p>
    <w:p w14:paraId="2A234A76" w14:textId="58B09D6E" w:rsidR="00FD1337" w:rsidRPr="00495D65" w:rsidRDefault="00FD1337" w:rsidP="00823ED8">
      <w:pPr>
        <w:rPr>
          <w:b/>
          <w:bCs/>
        </w:rPr>
      </w:pPr>
      <w:r w:rsidRPr="00495D65">
        <w:rPr>
          <w:b/>
          <w:bCs/>
        </w:rPr>
        <w:t xml:space="preserve">Proposal </w:t>
      </w:r>
      <w:r w:rsidR="00000A8D">
        <w:rPr>
          <w:b/>
          <w:bCs/>
        </w:rPr>
        <w:t>6</w:t>
      </w:r>
      <w:r w:rsidRPr="00495D65">
        <w:rPr>
          <w:b/>
          <w:bCs/>
        </w:rPr>
        <w:t xml:space="preserve">: </w:t>
      </w:r>
      <w:r w:rsidR="00937632">
        <w:rPr>
          <w:b/>
          <w:bCs/>
        </w:rPr>
        <w:t xml:space="preserve">As </w:t>
      </w:r>
      <w:r w:rsidR="003B5CCB">
        <w:rPr>
          <w:b/>
          <w:bCs/>
        </w:rPr>
        <w:t xml:space="preserve">FSAIs are configured per </w:t>
      </w:r>
      <w:proofErr w:type="spellStart"/>
      <w:r w:rsidR="00AB4126">
        <w:rPr>
          <w:b/>
          <w:bCs/>
        </w:rPr>
        <w:t>gNB</w:t>
      </w:r>
      <w:proofErr w:type="spellEnd"/>
      <w:r w:rsidR="00AB4126">
        <w:rPr>
          <w:b/>
          <w:bCs/>
        </w:rPr>
        <w:t xml:space="preserve"> or per cell</w:t>
      </w:r>
      <w:r w:rsidR="00937632">
        <w:rPr>
          <w:b/>
          <w:bCs/>
        </w:rPr>
        <w:t>,</w:t>
      </w:r>
      <w:r w:rsidR="00AB4126">
        <w:rPr>
          <w:b/>
          <w:bCs/>
        </w:rPr>
        <w:t xml:space="preserve"> </w:t>
      </w:r>
      <w:r w:rsidR="00FE475A">
        <w:rPr>
          <w:b/>
          <w:bCs/>
        </w:rPr>
        <w:t xml:space="preserve">RAN2 does not pursue FSAI to </w:t>
      </w:r>
      <w:r w:rsidR="00A679EC">
        <w:rPr>
          <w:b/>
          <w:bCs/>
        </w:rPr>
        <w:t xml:space="preserve">intended service area mapping, </w:t>
      </w:r>
      <w:r w:rsidR="003A66CB">
        <w:rPr>
          <w:b/>
          <w:bCs/>
        </w:rPr>
        <w:t>which</w:t>
      </w:r>
      <w:r w:rsidR="00A679EC">
        <w:rPr>
          <w:b/>
          <w:bCs/>
        </w:rPr>
        <w:t xml:space="preserve"> might have </w:t>
      </w:r>
      <w:r w:rsidR="005B3273">
        <w:rPr>
          <w:b/>
          <w:bCs/>
        </w:rPr>
        <w:t xml:space="preserve">impact on </w:t>
      </w:r>
      <w:r w:rsidR="00AD3F23">
        <w:rPr>
          <w:b/>
          <w:bCs/>
        </w:rPr>
        <w:t>core and service announcements</w:t>
      </w:r>
      <w:r w:rsidR="008C2B4B">
        <w:rPr>
          <w:b/>
          <w:bCs/>
        </w:rPr>
        <w:t xml:space="preserve"> (not limited to RAN2)</w:t>
      </w:r>
      <w:r w:rsidR="00AD3F23">
        <w:rPr>
          <w:b/>
          <w:bCs/>
        </w:rPr>
        <w:t xml:space="preserve"> for no major benefits.</w:t>
      </w:r>
    </w:p>
    <w:p w14:paraId="7536C325" w14:textId="1B68C3EA" w:rsidR="00823ED8" w:rsidRDefault="00823ED8" w:rsidP="00593A3E">
      <w:pPr>
        <w:pStyle w:val="Heading2"/>
      </w:pPr>
      <w:r>
        <w:t>2.</w:t>
      </w:r>
      <w:r w:rsidR="0034322A">
        <w:t>5</w:t>
      </w:r>
      <w:r>
        <w:t xml:space="preserve"> </w:t>
      </w:r>
      <w:r w:rsidR="00CA42DD">
        <w:tab/>
      </w:r>
      <w:r w:rsidR="00073E55">
        <w:t>Entering and leaving the service area versus MRBs</w:t>
      </w:r>
    </w:p>
    <w:p w14:paraId="76BB4C3F" w14:textId="6EE99187" w:rsidR="00823ED8" w:rsidRPr="00495D65" w:rsidRDefault="00823ED8" w:rsidP="00495D65">
      <w:pPr>
        <w:rPr>
          <w:b/>
          <w:bCs/>
        </w:rPr>
      </w:pPr>
      <w:r>
        <w:t xml:space="preserve">At RAN2#127 it was agreed that </w:t>
      </w:r>
      <w:r w:rsidR="008562AD">
        <w:fldChar w:fldCharType="begin"/>
      </w:r>
      <w:r w:rsidR="008562AD">
        <w:instrText xml:space="preserve"> REF _Ref187145403 \r \h </w:instrText>
      </w:r>
      <w:r w:rsidR="008562AD">
        <w:fldChar w:fldCharType="separate"/>
      </w:r>
      <w:r w:rsidR="008562AD">
        <w:t>[9]</w:t>
      </w:r>
      <w:r w:rsidR="008562AD">
        <w:fldChar w:fldCharType="end"/>
      </w:r>
      <w:r>
        <w:t xml:space="preserve">: </w:t>
      </w:r>
    </w:p>
    <w:tbl>
      <w:tblPr>
        <w:tblStyle w:val="TableGrid"/>
        <w:tblW w:w="0" w:type="auto"/>
        <w:tblLook w:val="04A0" w:firstRow="1" w:lastRow="0" w:firstColumn="1" w:lastColumn="0" w:noHBand="0" w:noVBand="1"/>
      </w:tblPr>
      <w:tblGrid>
        <w:gridCol w:w="9631"/>
      </w:tblGrid>
      <w:tr w:rsidR="00823ED8" w14:paraId="408A1E8C" w14:textId="77777777" w:rsidTr="00FC1884">
        <w:tc>
          <w:tcPr>
            <w:tcW w:w="9631" w:type="dxa"/>
          </w:tcPr>
          <w:p w14:paraId="0A69024E" w14:textId="77777777" w:rsidR="00823ED8" w:rsidRDefault="00823ED8" w:rsidP="00FC1884">
            <w:pPr>
              <w:jc w:val="both"/>
            </w:pPr>
            <w:r>
              <w:lastRenderedPageBreak/>
              <w:t>For an MBS broadcast service intended for a certain area, a R19 UE supporting the feature should not establish MRB(s) for the MBS session associated to the intended area when it is outside the intended area (capture this in Stage 2)</w:t>
            </w:r>
          </w:p>
          <w:p w14:paraId="798A0FB9" w14:textId="77777777" w:rsidR="00823ED8" w:rsidRDefault="00823ED8" w:rsidP="00FC1884">
            <w:pPr>
              <w:jc w:val="both"/>
            </w:pPr>
            <w:r>
              <w:t xml:space="preserve">For an MBS broadcast service intended for a certain area, a R19 UE supporting the feature </w:t>
            </w:r>
            <w:r w:rsidRPr="00221B40">
              <w:rPr>
                <w:b/>
              </w:rPr>
              <w:t>may</w:t>
            </w:r>
            <w:r>
              <w:t xml:space="preserve"> initiate the broadcast MRB establishment procedure when UE is inside the intended area; the UE may initiate the broadcast MRB release procedure when UE leaves the intended area (capture this in stage 3)</w:t>
            </w:r>
          </w:p>
        </w:tc>
      </w:tr>
    </w:tbl>
    <w:p w14:paraId="0DC2C1E5" w14:textId="77777777" w:rsidR="00823ED8" w:rsidRDefault="00823ED8" w:rsidP="00823ED8">
      <w:pPr>
        <w:jc w:val="both"/>
      </w:pPr>
      <w:r>
        <w:br/>
        <w:t xml:space="preserve">As can be noticed, no firm requirements have been defined for the UE regarding MRBs handling when the UE is </w:t>
      </w:r>
      <w:r w:rsidRPr="007F4E5F">
        <w:rPr>
          <w:u w:val="single"/>
        </w:rPr>
        <w:t>outside</w:t>
      </w:r>
      <w:r>
        <w:t xml:space="preserve"> of intended service area.</w:t>
      </w:r>
    </w:p>
    <w:p w14:paraId="03952A4A" w14:textId="0A946E17" w:rsidR="00823ED8" w:rsidRPr="00FD1834" w:rsidRDefault="00823ED8" w:rsidP="00823ED8">
      <w:pPr>
        <w:jc w:val="both"/>
        <w:rPr>
          <w:b/>
          <w:bCs/>
        </w:rPr>
      </w:pPr>
      <w:r w:rsidRPr="00FD1834">
        <w:rPr>
          <w:b/>
          <w:bCs/>
        </w:rPr>
        <w:t xml:space="preserve">Observation </w:t>
      </w:r>
      <w:r w:rsidR="00632E7B">
        <w:rPr>
          <w:b/>
          <w:bCs/>
        </w:rPr>
        <w:t>10</w:t>
      </w:r>
      <w:r w:rsidRPr="00FD1834">
        <w:rPr>
          <w:b/>
          <w:bCs/>
        </w:rPr>
        <w:t>: UE’s behaviour concerning MRBs handling when the UE is outside of intended service area is unspecified (i.e. the UE may or may not establish or release the MRBs).</w:t>
      </w:r>
    </w:p>
    <w:p w14:paraId="0C83FFED" w14:textId="0C0F2FCB" w:rsidR="00823ED8" w:rsidRDefault="00823ED8" w:rsidP="00823ED8">
      <w:pPr>
        <w:jc w:val="both"/>
      </w:pPr>
      <w:r>
        <w:t>In our view at least the action when the UE can establish the MRBs should be clear</w:t>
      </w:r>
      <w:r w:rsidR="007347E5">
        <w:t>,</w:t>
      </w:r>
      <w:r>
        <w:t xml:space="preserve"> </w:t>
      </w:r>
      <w:r w:rsidR="007347E5">
        <w:t>i</w:t>
      </w:r>
      <w:r>
        <w:t>.e. the UE should be allowed to establish the MRBs based on its location versus MBS service area, not just whenever it can receive the MBS. Thus, we suggest the following:</w:t>
      </w:r>
    </w:p>
    <w:p w14:paraId="3EFDCC90" w14:textId="7B5015C2" w:rsidR="00823ED8" w:rsidRPr="00845C15" w:rsidRDefault="00823ED8" w:rsidP="00823ED8">
      <w:pPr>
        <w:jc w:val="both"/>
        <w:rPr>
          <w:b/>
          <w:bCs/>
        </w:rPr>
      </w:pPr>
      <w:r w:rsidRPr="00C513E7">
        <w:rPr>
          <w:b/>
          <w:bCs/>
        </w:rPr>
        <w:t xml:space="preserve">Proposal </w:t>
      </w:r>
      <w:r w:rsidR="00000A8D">
        <w:rPr>
          <w:b/>
          <w:bCs/>
        </w:rPr>
        <w:t>7</w:t>
      </w:r>
      <w:r w:rsidRPr="00C513E7">
        <w:rPr>
          <w:b/>
          <w:bCs/>
        </w:rPr>
        <w:t xml:space="preserve">: </w:t>
      </w:r>
      <w:r>
        <w:rPr>
          <w:b/>
          <w:bCs/>
        </w:rPr>
        <w:t>Make the RAN2#127 agreement UE-binding and capture that t</w:t>
      </w:r>
      <w:r w:rsidRPr="00C513E7">
        <w:rPr>
          <w:b/>
          <w:bCs/>
        </w:rPr>
        <w:t>he</w:t>
      </w:r>
      <w:r>
        <w:rPr>
          <w:b/>
          <w:bCs/>
        </w:rPr>
        <w:t xml:space="preserve"> NTN-capable UE is not allowed to/shall not establish MRBs if it can receive broadcast service, but its location is not within the MBS service area.</w:t>
      </w:r>
      <w:r w:rsidRPr="00C513E7">
        <w:rPr>
          <w:b/>
          <w:bCs/>
        </w:rPr>
        <w:t xml:space="preserve">  </w:t>
      </w:r>
    </w:p>
    <w:p w14:paraId="299D8343" w14:textId="77777777" w:rsidR="00823ED8" w:rsidRDefault="00823ED8" w:rsidP="00823ED8">
      <w:pPr>
        <w:jc w:val="both"/>
      </w:pPr>
      <w:r>
        <w:t>At RAN2#127 it was also decided the UE may release the MRBs when it leaves the intended area. That is acceptable, but we shall not let the UE keep the MRBs for excessively long time. Thus, we suggest the following:</w:t>
      </w:r>
    </w:p>
    <w:p w14:paraId="1AC157BE" w14:textId="4A5FB687" w:rsidR="00823ED8" w:rsidRPr="00845C15" w:rsidRDefault="00823ED8" w:rsidP="00823ED8">
      <w:pPr>
        <w:jc w:val="both"/>
        <w:rPr>
          <w:b/>
          <w:bCs/>
        </w:rPr>
      </w:pPr>
      <w:r w:rsidRPr="000D5647">
        <w:rPr>
          <w:b/>
          <w:bCs/>
        </w:rPr>
        <w:t xml:space="preserve">Proposal </w:t>
      </w:r>
      <w:r w:rsidR="00000A8D">
        <w:rPr>
          <w:b/>
          <w:bCs/>
        </w:rPr>
        <w:t>8</w:t>
      </w:r>
      <w:r w:rsidRPr="000D5647">
        <w:rPr>
          <w:b/>
          <w:bCs/>
        </w:rPr>
        <w:t xml:space="preserve">: </w:t>
      </w:r>
      <w:r>
        <w:rPr>
          <w:b/>
          <w:bCs/>
        </w:rPr>
        <w:t>UE may release MRBs when leaving the intended area. However, releasing</w:t>
      </w:r>
      <w:r w:rsidRPr="000D5647">
        <w:rPr>
          <w:b/>
          <w:bCs/>
        </w:rPr>
        <w:t xml:space="preserve"> MRBs</w:t>
      </w:r>
      <w:r>
        <w:rPr>
          <w:b/>
          <w:bCs/>
        </w:rPr>
        <w:t xml:space="preserve"> is eventually subject</w:t>
      </w:r>
      <w:r w:rsidRPr="000D5647">
        <w:rPr>
          <w:b/>
          <w:bCs/>
        </w:rPr>
        <w:t xml:space="preserve"> to additional conditions, such as the time or distance that has elapsed since leaving the MBS area</w:t>
      </w:r>
      <w:r>
        <w:rPr>
          <w:b/>
          <w:bCs/>
        </w:rPr>
        <w:t>, as the UE cannot keep the MRBs eternally.</w:t>
      </w:r>
      <w:r w:rsidRPr="000D5647">
        <w:rPr>
          <w:b/>
          <w:bCs/>
        </w:rPr>
        <w:t xml:space="preserve"> </w:t>
      </w:r>
    </w:p>
    <w:p w14:paraId="064FC28F" w14:textId="46F68525" w:rsidR="00823ED8" w:rsidRDefault="00823ED8" w:rsidP="00823ED8">
      <w:pPr>
        <w:jc w:val="both"/>
      </w:pPr>
      <w:r>
        <w:t>It was debatable h</w:t>
      </w:r>
      <w:r w:rsidRPr="00AD7E23">
        <w:t>ow the UE determines it has left the service area</w:t>
      </w:r>
      <w:r>
        <w:t>. We acknowledge that it requires new means when compared to MBS in terrestrial networks. Nevertheless, it is expected the NTN-capable UE will monitor its geo-position</w:t>
      </w:r>
      <w:r w:rsidR="000802E6">
        <w:t xml:space="preserve"> (as we have also argued in </w:t>
      </w:r>
      <w:r w:rsidR="00187E72">
        <w:t>section 2.2)</w:t>
      </w:r>
      <w:r>
        <w:t xml:space="preserve">, so it should be able to realize it has left or entered the MBS service area. </w:t>
      </w:r>
    </w:p>
    <w:p w14:paraId="3CDB8E72" w14:textId="54EA270B" w:rsidR="0023125D" w:rsidRPr="0023125D" w:rsidRDefault="00823ED8" w:rsidP="00AF22EB">
      <w:pPr>
        <w:jc w:val="both"/>
        <w:rPr>
          <w:b/>
          <w:bCs/>
        </w:rPr>
      </w:pPr>
      <w:r w:rsidRPr="00B41E59">
        <w:rPr>
          <w:b/>
          <w:bCs/>
        </w:rPr>
        <w:t xml:space="preserve">Proposal </w:t>
      </w:r>
      <w:r w:rsidR="00000A8D">
        <w:rPr>
          <w:b/>
          <w:bCs/>
        </w:rPr>
        <w:t>9</w:t>
      </w:r>
      <w:r w:rsidRPr="00B41E59">
        <w:rPr>
          <w:b/>
          <w:bCs/>
        </w:rPr>
        <w:t xml:space="preserve">: NTN-capable UE </w:t>
      </w:r>
      <w:r w:rsidR="00C72ED5">
        <w:rPr>
          <w:b/>
          <w:bCs/>
        </w:rPr>
        <w:t xml:space="preserve">can determine </w:t>
      </w:r>
      <w:r w:rsidR="00B61689">
        <w:rPr>
          <w:b/>
          <w:bCs/>
        </w:rPr>
        <w:t>whether</w:t>
      </w:r>
      <w:r w:rsidR="00B61689" w:rsidRPr="00B41E59">
        <w:rPr>
          <w:b/>
          <w:bCs/>
        </w:rPr>
        <w:t xml:space="preserve"> </w:t>
      </w:r>
      <w:r w:rsidRPr="00B41E59">
        <w:rPr>
          <w:b/>
          <w:bCs/>
        </w:rPr>
        <w:t xml:space="preserve">it is </w:t>
      </w:r>
      <w:r w:rsidR="00B61689">
        <w:rPr>
          <w:b/>
          <w:bCs/>
        </w:rPr>
        <w:t>inside</w:t>
      </w:r>
      <w:r w:rsidR="00B61689" w:rsidRPr="00B41E59">
        <w:rPr>
          <w:b/>
          <w:bCs/>
        </w:rPr>
        <w:t xml:space="preserve"> </w:t>
      </w:r>
      <w:r w:rsidRPr="00B41E59">
        <w:rPr>
          <w:b/>
          <w:bCs/>
        </w:rPr>
        <w:t>or outside of MBS service area</w:t>
      </w:r>
      <w:r>
        <w:rPr>
          <w:b/>
          <w:bCs/>
        </w:rPr>
        <w:t xml:space="preserve"> based on the GNSS location it is using for other NTN purposes</w:t>
      </w:r>
      <w:r w:rsidR="00C72ED5">
        <w:rPr>
          <w:b/>
          <w:bCs/>
        </w:rPr>
        <w:t xml:space="preserve">, </w:t>
      </w:r>
      <w:r w:rsidR="008B340E">
        <w:rPr>
          <w:b/>
          <w:bCs/>
        </w:rPr>
        <w:t>i</w:t>
      </w:r>
      <w:r>
        <w:rPr>
          <w:b/>
          <w:bCs/>
        </w:rPr>
        <w:t xml:space="preserve">.e. there is no need to </w:t>
      </w:r>
      <w:r w:rsidRPr="0093453D">
        <w:rPr>
          <w:b/>
          <w:bCs/>
        </w:rPr>
        <w:t xml:space="preserve">update </w:t>
      </w:r>
      <w:r>
        <w:rPr>
          <w:b/>
          <w:bCs/>
        </w:rPr>
        <w:t>UE’s</w:t>
      </w:r>
      <w:r w:rsidRPr="0093453D">
        <w:rPr>
          <w:b/>
          <w:bCs/>
        </w:rPr>
        <w:t xml:space="preserve"> GNSS location </w:t>
      </w:r>
      <w:r>
        <w:rPr>
          <w:b/>
          <w:bCs/>
        </w:rPr>
        <w:t xml:space="preserve">specifically </w:t>
      </w:r>
      <w:r w:rsidRPr="0093453D">
        <w:rPr>
          <w:b/>
          <w:bCs/>
        </w:rPr>
        <w:t>for this</w:t>
      </w:r>
      <w:r>
        <w:rPr>
          <w:b/>
          <w:bCs/>
        </w:rPr>
        <w:t xml:space="preserve"> purpose.</w:t>
      </w:r>
    </w:p>
    <w:p w14:paraId="69B7B8E6" w14:textId="69E07FC9" w:rsidR="009339CB" w:rsidRPr="006E13D1" w:rsidRDefault="005A13AB" w:rsidP="00531EC4">
      <w:pPr>
        <w:pStyle w:val="Heading1"/>
        <w:jc w:val="both"/>
      </w:pPr>
      <w:r>
        <w:t>3</w:t>
      </w:r>
      <w:r w:rsidR="009339CB" w:rsidRPr="006E13D1">
        <w:tab/>
      </w:r>
      <w:r w:rsidR="009339CB">
        <w:t>Conclusion</w:t>
      </w:r>
    </w:p>
    <w:p w14:paraId="6E24B0F4" w14:textId="552EF491" w:rsidR="009339CB" w:rsidRDefault="009339CB" w:rsidP="00531EC4">
      <w:pPr>
        <w:jc w:val="both"/>
      </w:pPr>
      <w:r>
        <w:t>This document has made the following observations:</w:t>
      </w:r>
    </w:p>
    <w:p w14:paraId="209CF60E" w14:textId="18B12D47" w:rsidR="00D8428A" w:rsidRDefault="00D8428A" w:rsidP="00531EC4">
      <w:pPr>
        <w:jc w:val="both"/>
        <w:rPr>
          <w:b/>
          <w:bCs/>
        </w:rPr>
      </w:pPr>
      <w:r w:rsidRPr="00D260AD">
        <w:rPr>
          <w:b/>
          <w:bCs/>
        </w:rPr>
        <w:t xml:space="preserve">Observation 1: RAN2 has decided to introduce a new SIB which will include the list of service areas. The list of intended service area identifiers is also </w:t>
      </w:r>
      <w:r>
        <w:rPr>
          <w:b/>
          <w:bCs/>
        </w:rPr>
        <w:t xml:space="preserve">to be </w:t>
      </w:r>
      <w:r w:rsidRPr="00D260AD">
        <w:rPr>
          <w:b/>
          <w:bCs/>
        </w:rPr>
        <w:t>carrie</w:t>
      </w:r>
      <w:r>
        <w:rPr>
          <w:b/>
          <w:bCs/>
        </w:rPr>
        <w:t>d</w:t>
      </w:r>
      <w:r w:rsidRPr="00D260AD">
        <w:rPr>
          <w:b/>
          <w:bCs/>
        </w:rPr>
        <w:t xml:space="preserve"> in MCCH </w:t>
      </w:r>
      <w:r>
        <w:rPr>
          <w:b/>
          <w:bCs/>
        </w:rPr>
        <w:t xml:space="preserve">for each MBS service </w:t>
      </w:r>
      <w:r w:rsidRPr="00D260AD">
        <w:rPr>
          <w:b/>
          <w:bCs/>
        </w:rPr>
        <w:t>(as per earlier RAN2 agreements).</w:t>
      </w:r>
    </w:p>
    <w:p w14:paraId="4F2D8CB2" w14:textId="77777777" w:rsidR="00D8428A" w:rsidRDefault="00D8428A" w:rsidP="00D8428A">
      <w:pPr>
        <w:rPr>
          <w:b/>
          <w:bCs/>
        </w:rPr>
      </w:pPr>
      <w:r w:rsidRPr="00D916D0">
        <w:rPr>
          <w:b/>
          <w:bCs/>
        </w:rPr>
        <w:t xml:space="preserve">Observation 2: </w:t>
      </w:r>
      <w:r>
        <w:rPr>
          <w:b/>
          <w:bCs/>
        </w:rPr>
        <w:t xml:space="preserve">As per legacy specification One service can be available in a single service area. One service area can comprise multiple services. </w:t>
      </w:r>
    </w:p>
    <w:p w14:paraId="285CF5BC" w14:textId="77777777" w:rsidR="00D8428A" w:rsidRPr="00805751" w:rsidRDefault="00D8428A" w:rsidP="00D8428A">
      <w:pPr>
        <w:rPr>
          <w:b/>
          <w:bCs/>
        </w:rPr>
      </w:pPr>
      <w:r w:rsidRPr="00805751">
        <w:rPr>
          <w:b/>
          <w:bCs/>
        </w:rPr>
        <w:t>Observation 3: According to SA1, ETWS-capable UE shall present the ETWS notification if the UE is able to determine it is within the Warning Notification Area or when the UE is unable to determine its location.</w:t>
      </w:r>
    </w:p>
    <w:p w14:paraId="300BEE50" w14:textId="77777777" w:rsidR="00D8428A" w:rsidRDefault="00D8428A" w:rsidP="00D8428A">
      <w:pPr>
        <w:rPr>
          <w:b/>
          <w:bCs/>
        </w:rPr>
      </w:pPr>
      <w:r w:rsidRPr="008E11BF">
        <w:rPr>
          <w:b/>
          <w:bCs/>
        </w:rPr>
        <w:t>Observation 4:</w:t>
      </w:r>
      <w:r>
        <w:rPr>
          <w:b/>
          <w:bCs/>
        </w:rPr>
        <w:t xml:space="preserve"> The SA1 requirement to display ETWS warning when UE has not assessed its location may lead to false alerts.</w:t>
      </w:r>
    </w:p>
    <w:p w14:paraId="432F26AA" w14:textId="77777777" w:rsidR="00D8428A" w:rsidRPr="00D03A71" w:rsidRDefault="00D8428A" w:rsidP="00D8428A">
      <w:pPr>
        <w:rPr>
          <w:b/>
          <w:bCs/>
        </w:rPr>
      </w:pPr>
      <w:r w:rsidRPr="00D03A71">
        <w:rPr>
          <w:b/>
          <w:bCs/>
        </w:rPr>
        <w:t xml:space="preserve">Observation 5: NTN-capable UE performing UL transmission needs to anyway have a valid location information.     </w:t>
      </w:r>
    </w:p>
    <w:p w14:paraId="6F18CAE2" w14:textId="77777777" w:rsidR="00D8428A" w:rsidRDefault="00D8428A" w:rsidP="00D8428A">
      <w:pPr>
        <w:rPr>
          <w:b/>
          <w:bCs/>
        </w:rPr>
      </w:pPr>
      <w:r w:rsidRPr="00864175">
        <w:rPr>
          <w:b/>
          <w:bCs/>
        </w:rPr>
        <w:t xml:space="preserve">Observation </w:t>
      </w:r>
      <w:r>
        <w:rPr>
          <w:b/>
          <w:bCs/>
        </w:rPr>
        <w:t>6</w:t>
      </w:r>
      <w:r w:rsidRPr="00864175">
        <w:rPr>
          <w:b/>
          <w:bCs/>
        </w:rPr>
        <w:t xml:space="preserve">: </w:t>
      </w:r>
      <w:r>
        <w:rPr>
          <w:b/>
          <w:bCs/>
        </w:rPr>
        <w:t>ETWS area is likely to cover a smaller area than NTN cell’s footprint</w:t>
      </w:r>
      <w:r w:rsidRPr="00864175">
        <w:rPr>
          <w:b/>
          <w:bCs/>
        </w:rPr>
        <w:t>.</w:t>
      </w:r>
    </w:p>
    <w:p w14:paraId="252C379D" w14:textId="77777777" w:rsidR="00D8428A" w:rsidRPr="00864175" w:rsidRDefault="00D8428A" w:rsidP="00D8428A">
      <w:pPr>
        <w:rPr>
          <w:b/>
          <w:bCs/>
        </w:rPr>
      </w:pPr>
      <w:r>
        <w:rPr>
          <w:b/>
          <w:bCs/>
        </w:rPr>
        <w:t xml:space="preserve">Observation 7: It is beneficial if UEs </w:t>
      </w:r>
      <w:r w:rsidRPr="002A3281">
        <w:rPr>
          <w:b/>
          <w:bCs/>
        </w:rPr>
        <w:t>outside of the ETWS area but located within the same NTN cell (i.e. receiving the same System Information)</w:t>
      </w:r>
      <w:r>
        <w:rPr>
          <w:b/>
          <w:bCs/>
        </w:rPr>
        <w:t xml:space="preserve"> are not alerted.</w:t>
      </w:r>
    </w:p>
    <w:p w14:paraId="5676A7BD" w14:textId="55427FB6" w:rsidR="00D8428A" w:rsidRDefault="00D8428A" w:rsidP="00D8428A">
      <w:pPr>
        <w:rPr>
          <w:b/>
          <w:bCs/>
        </w:rPr>
      </w:pPr>
      <w:r w:rsidRPr="00FB014B">
        <w:rPr>
          <w:b/>
          <w:bCs/>
        </w:rPr>
        <w:t xml:space="preserve">Observation </w:t>
      </w:r>
      <w:r>
        <w:rPr>
          <w:b/>
          <w:bCs/>
        </w:rPr>
        <w:t>8</w:t>
      </w:r>
      <w:r w:rsidRPr="00FB014B">
        <w:rPr>
          <w:b/>
          <w:bCs/>
        </w:rPr>
        <w:t xml:space="preserve">: RAN2 has asked SA1 to consider ETWS Primary Notification delay requirements in their work on the geofencing for ETWS. This </w:t>
      </w:r>
      <w:r>
        <w:rPr>
          <w:b/>
          <w:bCs/>
        </w:rPr>
        <w:t xml:space="preserve">apparently </w:t>
      </w:r>
      <w:r w:rsidRPr="00FB014B">
        <w:rPr>
          <w:b/>
          <w:bCs/>
        </w:rPr>
        <w:t>has not happened in SA1 as per agreed CR in S1-244753.</w:t>
      </w:r>
    </w:p>
    <w:p w14:paraId="5DAEDC0A" w14:textId="77777777" w:rsidR="00D8428A" w:rsidRPr="00CE6574" w:rsidRDefault="00D8428A" w:rsidP="00D8428A">
      <w:pPr>
        <w:rPr>
          <w:b/>
          <w:bCs/>
        </w:rPr>
      </w:pPr>
      <w:r w:rsidRPr="00CE6574">
        <w:rPr>
          <w:b/>
          <w:bCs/>
        </w:rPr>
        <w:lastRenderedPageBreak/>
        <w:t xml:space="preserve">Observation </w:t>
      </w:r>
      <w:r>
        <w:rPr>
          <w:b/>
          <w:bCs/>
        </w:rPr>
        <w:t>9</w:t>
      </w:r>
      <w:r w:rsidRPr="00CE6574">
        <w:rPr>
          <w:b/>
          <w:bCs/>
        </w:rPr>
        <w:t>: As per legacy NR RRC the MBS capable UE may send the MBS Interest Indication upon entering or leaving the broadcast service area.</w:t>
      </w:r>
    </w:p>
    <w:p w14:paraId="393916C7" w14:textId="1767FAF9" w:rsidR="00D8428A" w:rsidRPr="00303517" w:rsidRDefault="001B42D6" w:rsidP="001B42D6">
      <w:pPr>
        <w:jc w:val="both"/>
        <w:rPr>
          <w:b/>
          <w:bCs/>
        </w:rPr>
      </w:pPr>
      <w:r w:rsidRPr="00FD1834">
        <w:rPr>
          <w:b/>
          <w:bCs/>
        </w:rPr>
        <w:t xml:space="preserve">Observation </w:t>
      </w:r>
      <w:r>
        <w:rPr>
          <w:b/>
          <w:bCs/>
        </w:rPr>
        <w:t>10</w:t>
      </w:r>
      <w:r w:rsidRPr="00FD1834">
        <w:rPr>
          <w:b/>
          <w:bCs/>
        </w:rPr>
        <w:t>: UE’s behaviour concerning MRBs handling when the UE is outside of intended service area is unspecified (i.e. the UE may or may not establish or release the MRBs).</w:t>
      </w:r>
    </w:p>
    <w:p w14:paraId="45B7704B" w14:textId="77777777" w:rsidR="00C0039D" w:rsidRDefault="00C0039D" w:rsidP="00C0039D">
      <w:pPr>
        <w:jc w:val="both"/>
        <w:rPr>
          <w:bCs/>
        </w:rPr>
      </w:pPr>
      <w:r>
        <w:rPr>
          <w:bCs/>
        </w:rPr>
        <w:t>And proposed the following:</w:t>
      </w:r>
    </w:p>
    <w:p w14:paraId="31BB547D" w14:textId="77777777" w:rsidR="00D8428A" w:rsidRDefault="00D8428A" w:rsidP="00D8428A">
      <w:pPr>
        <w:rPr>
          <w:b/>
          <w:bCs/>
        </w:rPr>
      </w:pPr>
      <w:r>
        <w:rPr>
          <w:b/>
          <w:bCs/>
        </w:rPr>
        <w:t xml:space="preserve">Proposal 1: RAN2 to consider if </w:t>
      </w:r>
      <w:r w:rsidRPr="004777A3">
        <w:rPr>
          <w:b/>
          <w:bCs/>
        </w:rPr>
        <w:t>many-to-many relationship should be supported for NTN MBS</w:t>
      </w:r>
      <w:r>
        <w:rPr>
          <w:b/>
          <w:bCs/>
        </w:rPr>
        <w:t xml:space="preserve"> service and service area.</w:t>
      </w:r>
      <w:r w:rsidRPr="00D916D0">
        <w:rPr>
          <w:b/>
          <w:bCs/>
        </w:rPr>
        <w:t xml:space="preserve">  </w:t>
      </w:r>
    </w:p>
    <w:p w14:paraId="5BC9AFC7" w14:textId="77777777" w:rsidR="00D8428A" w:rsidRPr="008562AD" w:rsidRDefault="00D8428A" w:rsidP="00D8428A">
      <w:pPr>
        <w:rPr>
          <w:b/>
          <w:bCs/>
        </w:rPr>
      </w:pPr>
      <w:r w:rsidRPr="00C06836">
        <w:rPr>
          <w:b/>
          <w:bCs/>
        </w:rPr>
        <w:t xml:space="preserve">Proposal </w:t>
      </w:r>
      <w:r>
        <w:rPr>
          <w:b/>
          <w:bCs/>
        </w:rPr>
        <w:t>2</w:t>
      </w:r>
      <w:r w:rsidRPr="00C06836">
        <w:rPr>
          <w:b/>
          <w:bCs/>
        </w:rPr>
        <w:t xml:space="preserve">: Insert a list of service area IDs/indices under each </w:t>
      </w:r>
      <w:r w:rsidRPr="00C06836">
        <w:rPr>
          <w:b/>
          <w:bCs/>
          <w:i/>
          <w:iCs/>
        </w:rPr>
        <w:t>MBS-</w:t>
      </w:r>
      <w:proofErr w:type="spellStart"/>
      <w:r w:rsidRPr="00C06836">
        <w:rPr>
          <w:b/>
          <w:bCs/>
          <w:i/>
          <w:iCs/>
        </w:rPr>
        <w:t>SessionInfo</w:t>
      </w:r>
      <w:proofErr w:type="spellEnd"/>
      <w:r w:rsidRPr="00C06836">
        <w:rPr>
          <w:b/>
          <w:bCs/>
        </w:rPr>
        <w:t xml:space="preserve"> provided in MCCH.</w:t>
      </w:r>
    </w:p>
    <w:p w14:paraId="6E4F3278" w14:textId="77777777" w:rsidR="00D8428A" w:rsidRPr="007A3828" w:rsidRDefault="00D8428A" w:rsidP="00D8428A">
      <w:pPr>
        <w:rPr>
          <w:b/>
          <w:bCs/>
        </w:rPr>
      </w:pPr>
      <w:r w:rsidRPr="007A3828">
        <w:rPr>
          <w:b/>
          <w:bCs/>
        </w:rPr>
        <w:t xml:space="preserve">Proposal </w:t>
      </w:r>
      <w:r>
        <w:rPr>
          <w:b/>
          <w:bCs/>
        </w:rPr>
        <w:t>3</w:t>
      </w:r>
      <w:r w:rsidRPr="007A3828">
        <w:rPr>
          <w:b/>
          <w:bCs/>
        </w:rPr>
        <w:t>: RAN2 considers a solution wherein the UE is given the geographical coordinates associated with the ETWS notification area.</w:t>
      </w:r>
    </w:p>
    <w:p w14:paraId="7ED7E18F" w14:textId="77777777" w:rsidR="00D8428A" w:rsidRPr="00B8410D" w:rsidRDefault="00D8428A" w:rsidP="00D8428A">
      <w:pPr>
        <w:rPr>
          <w:b/>
          <w:bCs/>
        </w:rPr>
      </w:pPr>
      <w:r w:rsidRPr="00B8410D">
        <w:rPr>
          <w:b/>
          <w:bCs/>
        </w:rPr>
        <w:t xml:space="preserve">Proposal </w:t>
      </w:r>
      <w:r>
        <w:rPr>
          <w:b/>
          <w:bCs/>
        </w:rPr>
        <w:t>4</w:t>
      </w:r>
      <w:r w:rsidRPr="00B8410D">
        <w:rPr>
          <w:b/>
          <w:bCs/>
        </w:rPr>
        <w:t>: RAN2 does not specify any new behaviour with respect to MBS Interest Indication when Rel-19 NTN capable UE enters or leaves the MBS broadcast service area.</w:t>
      </w:r>
    </w:p>
    <w:p w14:paraId="1BEBEA02" w14:textId="77777777" w:rsidR="001B42D6" w:rsidRPr="00AB4497" w:rsidRDefault="001B42D6" w:rsidP="001B42D6">
      <w:pPr>
        <w:rPr>
          <w:b/>
          <w:bCs/>
        </w:rPr>
      </w:pPr>
      <w:r w:rsidRPr="00AB4497">
        <w:rPr>
          <w:b/>
          <w:bCs/>
        </w:rPr>
        <w:t xml:space="preserve">Proposal </w:t>
      </w:r>
      <w:r>
        <w:rPr>
          <w:b/>
          <w:bCs/>
        </w:rPr>
        <w:t>5:</w:t>
      </w:r>
      <w:r w:rsidRPr="00AB4497">
        <w:rPr>
          <w:b/>
          <w:bCs/>
        </w:rPr>
        <w:t xml:space="preserve"> RAN2 does not work on providing </w:t>
      </w:r>
      <w:r w:rsidRPr="00AB4497">
        <w:rPr>
          <w:b/>
          <w:bCs/>
          <w:lang w:val="en-US" w:eastAsia="ko-KR"/>
        </w:rPr>
        <w:t xml:space="preserve">the intended service area within each neighbor cell for each MBS broadcast service session, as this can be known thanks to </w:t>
      </w:r>
      <w:proofErr w:type="spellStart"/>
      <w:r w:rsidRPr="00AB4497">
        <w:rPr>
          <w:b/>
          <w:bCs/>
          <w:i/>
          <w:iCs/>
        </w:rPr>
        <w:t>mtch-neighbourCell</w:t>
      </w:r>
      <w:proofErr w:type="spellEnd"/>
      <w:r w:rsidRPr="00AB4497">
        <w:rPr>
          <w:b/>
          <w:bCs/>
          <w:lang w:val="en-US" w:eastAsia="ko-KR"/>
        </w:rPr>
        <w:t>.</w:t>
      </w:r>
    </w:p>
    <w:p w14:paraId="32701AC5" w14:textId="77777777" w:rsidR="001B42D6" w:rsidRPr="00495D65" w:rsidRDefault="001B42D6" w:rsidP="001B42D6">
      <w:pPr>
        <w:rPr>
          <w:b/>
          <w:bCs/>
        </w:rPr>
      </w:pPr>
      <w:r w:rsidRPr="00495D65">
        <w:rPr>
          <w:b/>
          <w:bCs/>
        </w:rPr>
        <w:t xml:space="preserve">Proposal </w:t>
      </w:r>
      <w:r>
        <w:rPr>
          <w:b/>
          <w:bCs/>
        </w:rPr>
        <w:t>6</w:t>
      </w:r>
      <w:r w:rsidRPr="00495D65">
        <w:rPr>
          <w:b/>
          <w:bCs/>
        </w:rPr>
        <w:t xml:space="preserve">: </w:t>
      </w:r>
      <w:r>
        <w:rPr>
          <w:b/>
          <w:bCs/>
        </w:rPr>
        <w:t xml:space="preserve">As FSAIs are configured per </w:t>
      </w:r>
      <w:proofErr w:type="spellStart"/>
      <w:r>
        <w:rPr>
          <w:b/>
          <w:bCs/>
        </w:rPr>
        <w:t>gNB</w:t>
      </w:r>
      <w:proofErr w:type="spellEnd"/>
      <w:r>
        <w:rPr>
          <w:b/>
          <w:bCs/>
        </w:rPr>
        <w:t xml:space="preserve"> or per cell, RAN2 does not pursue FSAI to intended service area mapping, which might have impact on core and service announcements (not limited to RAN2) for no major benefits.</w:t>
      </w:r>
    </w:p>
    <w:p w14:paraId="300C0086" w14:textId="77777777" w:rsidR="001B42D6" w:rsidRPr="00845C15" w:rsidRDefault="001B42D6" w:rsidP="001B42D6">
      <w:pPr>
        <w:jc w:val="both"/>
        <w:rPr>
          <w:b/>
          <w:bCs/>
        </w:rPr>
      </w:pPr>
      <w:r w:rsidRPr="00C513E7">
        <w:rPr>
          <w:b/>
          <w:bCs/>
        </w:rPr>
        <w:t xml:space="preserve">Proposal </w:t>
      </w:r>
      <w:r>
        <w:rPr>
          <w:b/>
          <w:bCs/>
        </w:rPr>
        <w:t>7</w:t>
      </w:r>
      <w:r w:rsidRPr="00C513E7">
        <w:rPr>
          <w:b/>
          <w:bCs/>
        </w:rPr>
        <w:t xml:space="preserve">: </w:t>
      </w:r>
      <w:r>
        <w:rPr>
          <w:b/>
          <w:bCs/>
        </w:rPr>
        <w:t>Make the RAN2#127 agreement UE-binding and capture that t</w:t>
      </w:r>
      <w:r w:rsidRPr="00C513E7">
        <w:rPr>
          <w:b/>
          <w:bCs/>
        </w:rPr>
        <w:t>he</w:t>
      </w:r>
      <w:r>
        <w:rPr>
          <w:b/>
          <w:bCs/>
        </w:rPr>
        <w:t xml:space="preserve"> NTN-capable UE is not allowed to/shall not establish MRBs if it can receive broadcast service, but its location is not within the MBS service area.</w:t>
      </w:r>
      <w:r w:rsidRPr="00C513E7">
        <w:rPr>
          <w:b/>
          <w:bCs/>
        </w:rPr>
        <w:t xml:space="preserve">  </w:t>
      </w:r>
    </w:p>
    <w:p w14:paraId="3F6C71F6" w14:textId="77777777" w:rsidR="001B42D6" w:rsidRPr="00845C15" w:rsidRDefault="001B42D6" w:rsidP="001B42D6">
      <w:pPr>
        <w:jc w:val="both"/>
        <w:rPr>
          <w:b/>
          <w:bCs/>
        </w:rPr>
      </w:pPr>
      <w:r w:rsidRPr="000D5647">
        <w:rPr>
          <w:b/>
          <w:bCs/>
        </w:rPr>
        <w:t xml:space="preserve">Proposal </w:t>
      </w:r>
      <w:r>
        <w:rPr>
          <w:b/>
          <w:bCs/>
        </w:rPr>
        <w:t>8</w:t>
      </w:r>
      <w:r w:rsidRPr="000D5647">
        <w:rPr>
          <w:b/>
          <w:bCs/>
        </w:rPr>
        <w:t xml:space="preserve">: </w:t>
      </w:r>
      <w:r>
        <w:rPr>
          <w:b/>
          <w:bCs/>
        </w:rPr>
        <w:t>UE may release MRBs when leaving the intended area. However, releasing</w:t>
      </w:r>
      <w:r w:rsidRPr="000D5647">
        <w:rPr>
          <w:b/>
          <w:bCs/>
        </w:rPr>
        <w:t xml:space="preserve"> MRBs</w:t>
      </w:r>
      <w:r>
        <w:rPr>
          <w:b/>
          <w:bCs/>
        </w:rPr>
        <w:t xml:space="preserve"> is eventually subject</w:t>
      </w:r>
      <w:r w:rsidRPr="000D5647">
        <w:rPr>
          <w:b/>
          <w:bCs/>
        </w:rPr>
        <w:t xml:space="preserve"> to additional conditions, such as the time or distance that has elapsed since leaving the MBS area</w:t>
      </w:r>
      <w:r>
        <w:rPr>
          <w:b/>
          <w:bCs/>
        </w:rPr>
        <w:t>, as the UE cannot keep the MRBs eternally.</w:t>
      </w:r>
      <w:r w:rsidRPr="000D5647">
        <w:rPr>
          <w:b/>
          <w:bCs/>
        </w:rPr>
        <w:t xml:space="preserve"> </w:t>
      </w:r>
    </w:p>
    <w:p w14:paraId="68BDE1F3" w14:textId="55BEE1CF" w:rsidR="00D8428A" w:rsidRPr="00303517" w:rsidRDefault="001B42D6" w:rsidP="00C0039D">
      <w:pPr>
        <w:jc w:val="both"/>
        <w:rPr>
          <w:b/>
          <w:bCs/>
        </w:rPr>
      </w:pPr>
      <w:r w:rsidRPr="00B41E59">
        <w:rPr>
          <w:b/>
          <w:bCs/>
        </w:rPr>
        <w:t xml:space="preserve">Proposal </w:t>
      </w:r>
      <w:r>
        <w:rPr>
          <w:b/>
          <w:bCs/>
        </w:rPr>
        <w:t>9</w:t>
      </w:r>
      <w:r w:rsidRPr="00B41E59">
        <w:rPr>
          <w:b/>
          <w:bCs/>
        </w:rPr>
        <w:t xml:space="preserve">: NTN-capable UE </w:t>
      </w:r>
      <w:r>
        <w:rPr>
          <w:b/>
          <w:bCs/>
        </w:rPr>
        <w:t>can determine whether</w:t>
      </w:r>
      <w:r w:rsidRPr="00B41E59">
        <w:rPr>
          <w:b/>
          <w:bCs/>
        </w:rPr>
        <w:t xml:space="preserve"> it is </w:t>
      </w:r>
      <w:r>
        <w:rPr>
          <w:b/>
          <w:bCs/>
        </w:rPr>
        <w:t>inside</w:t>
      </w:r>
      <w:r w:rsidRPr="00B41E59">
        <w:rPr>
          <w:b/>
          <w:bCs/>
        </w:rPr>
        <w:t xml:space="preserve"> or outside of MBS service area</w:t>
      </w:r>
      <w:r>
        <w:rPr>
          <w:b/>
          <w:bCs/>
        </w:rPr>
        <w:t xml:space="preserve"> based on the GNSS location it is using for other NTN purposes, i.e. there is no need to </w:t>
      </w:r>
      <w:r w:rsidRPr="0093453D">
        <w:rPr>
          <w:b/>
          <w:bCs/>
        </w:rPr>
        <w:t xml:space="preserve">update </w:t>
      </w:r>
      <w:r>
        <w:rPr>
          <w:b/>
          <w:bCs/>
        </w:rPr>
        <w:t>UE’s</w:t>
      </w:r>
      <w:r w:rsidRPr="0093453D">
        <w:rPr>
          <w:b/>
          <w:bCs/>
        </w:rPr>
        <w:t xml:space="preserve"> GNSS location </w:t>
      </w:r>
      <w:r>
        <w:rPr>
          <w:b/>
          <w:bCs/>
        </w:rPr>
        <w:t xml:space="preserve">specifically </w:t>
      </w:r>
      <w:r w:rsidRPr="0093453D">
        <w:rPr>
          <w:b/>
          <w:bCs/>
        </w:rPr>
        <w:t>for this</w:t>
      </w:r>
      <w:r>
        <w:rPr>
          <w:b/>
          <w:bCs/>
        </w:rPr>
        <w:t xml:space="preserve"> purpose.</w:t>
      </w:r>
    </w:p>
    <w:p w14:paraId="79084960" w14:textId="77777777" w:rsidR="00F962E6" w:rsidRPr="00451A30" w:rsidRDefault="00F962E6" w:rsidP="00531EC4">
      <w:pPr>
        <w:pStyle w:val="Heading1"/>
        <w:jc w:val="both"/>
      </w:pPr>
      <w:r w:rsidRPr="00451A30">
        <w:t>References</w:t>
      </w:r>
    </w:p>
    <w:p w14:paraId="4DF3E7C7" w14:textId="77777777" w:rsidR="00F962E6" w:rsidRDefault="00F962E6" w:rsidP="00531EC4">
      <w:pPr>
        <w:pStyle w:val="ListParagraph"/>
        <w:numPr>
          <w:ilvl w:val="0"/>
          <w:numId w:val="21"/>
        </w:numPr>
        <w:jc w:val="both"/>
      </w:pPr>
      <w:bookmarkStart w:id="0"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0"/>
    </w:p>
    <w:p w14:paraId="68318C91" w14:textId="64C0410A" w:rsidR="00FB699C" w:rsidRDefault="006E1F58" w:rsidP="009909AB">
      <w:pPr>
        <w:pStyle w:val="ListParagraph"/>
        <w:numPr>
          <w:ilvl w:val="0"/>
          <w:numId w:val="21"/>
        </w:numPr>
        <w:jc w:val="both"/>
      </w:pPr>
      <w:r>
        <w:t>R2-240</w:t>
      </w:r>
      <w:r w:rsidR="00053FF9">
        <w:t>9213</w:t>
      </w:r>
      <w:r>
        <w:t xml:space="preserve"> </w:t>
      </w:r>
      <w:r w:rsidR="00083F05" w:rsidRPr="00707410">
        <w:rPr>
          <w:i/>
          <w:iCs/>
        </w:rPr>
        <w:t>Report from Break-out session on NR-NTN and IoT-NTN</w:t>
      </w:r>
      <w:r w:rsidR="009909AB">
        <w:t xml:space="preserve"> 3GPP TSG-RAN WG2 Meeting #12</w:t>
      </w:r>
      <w:r w:rsidR="00233681">
        <w:t>7</w:t>
      </w:r>
      <w:r w:rsidR="009909AB">
        <w:t>bis Changsha, China, Apr 15th – 19th, 2024</w:t>
      </w:r>
    </w:p>
    <w:p w14:paraId="74E3F3B3" w14:textId="2DB9867A" w:rsidR="00F0319B" w:rsidRDefault="00F0319B" w:rsidP="00F0319B">
      <w:pPr>
        <w:pStyle w:val="ListParagraph"/>
        <w:numPr>
          <w:ilvl w:val="0"/>
          <w:numId w:val="21"/>
        </w:numPr>
        <w:jc w:val="both"/>
      </w:pPr>
      <w:bookmarkStart w:id="1" w:name="_Ref187145446"/>
      <w:r>
        <w:t>R2-2410913</w:t>
      </w:r>
      <w:r>
        <w:tab/>
      </w:r>
      <w:r w:rsidRPr="00121C85">
        <w:rPr>
          <w:i/>
          <w:iCs/>
        </w:rPr>
        <w:t>Report from Break-out session on NR-NTN and IoT-NTN</w:t>
      </w:r>
      <w:r>
        <w:t xml:space="preserve"> 3GPP TSG-RAN WG2 Meeting #128 Orlando, USA, Nov 18th – 22nd, 2024</w:t>
      </w:r>
      <w:bookmarkEnd w:id="1"/>
    </w:p>
    <w:p w14:paraId="69B0CCF9" w14:textId="5C8C5A2A" w:rsidR="00F0319B" w:rsidRDefault="00F0319B" w:rsidP="00F0319B">
      <w:pPr>
        <w:pStyle w:val="ListParagraph"/>
        <w:numPr>
          <w:ilvl w:val="0"/>
          <w:numId w:val="21"/>
        </w:numPr>
        <w:jc w:val="both"/>
      </w:pPr>
      <w:bookmarkStart w:id="2" w:name="_Ref187221641"/>
      <w:r>
        <w:t xml:space="preserve">S1-244857 </w:t>
      </w:r>
      <w:r w:rsidRPr="00121C85">
        <w:rPr>
          <w:i/>
          <w:iCs/>
        </w:rPr>
        <w:t xml:space="preserve">Reply LS on requirements for ETWS primary notification </w:t>
      </w:r>
      <w:r>
        <w:t>3GPP TSG SA WG WG1 Meeting #108 Orlando, FL, USA, 18th – 22nd November 2024</w:t>
      </w:r>
      <w:bookmarkEnd w:id="2"/>
    </w:p>
    <w:p w14:paraId="52DED060" w14:textId="6F1F292E" w:rsidR="00121C85" w:rsidRDefault="00121C85" w:rsidP="00121C85">
      <w:pPr>
        <w:pStyle w:val="ListParagraph"/>
        <w:numPr>
          <w:ilvl w:val="0"/>
          <w:numId w:val="21"/>
        </w:numPr>
        <w:jc w:val="both"/>
      </w:pPr>
      <w:bookmarkStart w:id="3" w:name="_Ref187222761"/>
      <w:r>
        <w:t xml:space="preserve">S1-244753 </w:t>
      </w:r>
      <w:r w:rsidRPr="00121C85">
        <w:rPr>
          <w:i/>
          <w:iCs/>
        </w:rPr>
        <w:t>Warning notification with geofencing for ETWS over satellite access (CR to TS 22.268)</w:t>
      </w:r>
      <w:r>
        <w:t xml:space="preserve"> 3GPP TSG-SA1 Meeting #108</w:t>
      </w:r>
      <w:r>
        <w:tab/>
        <w:t xml:space="preserve"> Orlando, United States, 18th Nov 2024 - 22nd Nov 2024</w:t>
      </w:r>
      <w:bookmarkEnd w:id="3"/>
    </w:p>
    <w:p w14:paraId="27E05BA2" w14:textId="1AE1C508" w:rsidR="00053FF9" w:rsidRDefault="00823ED8" w:rsidP="00D93070">
      <w:pPr>
        <w:pStyle w:val="ListParagraph"/>
        <w:numPr>
          <w:ilvl w:val="0"/>
          <w:numId w:val="21"/>
        </w:numPr>
        <w:jc w:val="both"/>
      </w:pPr>
      <w:bookmarkStart w:id="4" w:name="_Ref187160805"/>
      <w:r>
        <w:t xml:space="preserve">3GPP TS 38.331 </w:t>
      </w:r>
      <w:r w:rsidRPr="00121C85">
        <w:rPr>
          <w:i/>
          <w:iCs/>
        </w:rPr>
        <w:t>NR RRC</w:t>
      </w:r>
      <w:r>
        <w:t>, v18.</w:t>
      </w:r>
      <w:r w:rsidR="00F0319B">
        <w:t>4</w:t>
      </w:r>
      <w:r>
        <w:t xml:space="preserve">.0, </w:t>
      </w:r>
      <w:r w:rsidR="00F0319B">
        <w:t>December</w:t>
      </w:r>
      <w:r>
        <w:t xml:space="preserve"> 2024</w:t>
      </w:r>
      <w:bookmarkStart w:id="5" w:name="_Ref172537527"/>
      <w:bookmarkEnd w:id="4"/>
    </w:p>
    <w:p w14:paraId="66229B30" w14:textId="4AD4B35F" w:rsidR="00F13C23" w:rsidRDefault="00F13C23" w:rsidP="00A41C68">
      <w:pPr>
        <w:pStyle w:val="ListParagraph"/>
        <w:numPr>
          <w:ilvl w:val="0"/>
          <w:numId w:val="21"/>
        </w:numPr>
        <w:jc w:val="both"/>
      </w:pPr>
      <w:bookmarkStart w:id="6" w:name="_Ref187223404"/>
      <w:bookmarkStart w:id="7" w:name="_Ref187223486"/>
      <w:r w:rsidRPr="00F13C23">
        <w:t>R2-2407823</w:t>
      </w:r>
      <w:r>
        <w:t xml:space="preserve"> </w:t>
      </w:r>
      <w:r w:rsidRPr="00A41C68">
        <w:rPr>
          <w:i/>
          <w:iCs/>
        </w:rPr>
        <w:t>LS on requirements for ETWS primary notification</w:t>
      </w:r>
      <w:bookmarkEnd w:id="6"/>
      <w:r w:rsidR="00A41C68">
        <w:t xml:space="preserve"> 3GPP TSG-RAN WG2 Meeting #127 Maastricht, Netherlands, August 19th – 23rd, 2024</w:t>
      </w:r>
      <w:bookmarkEnd w:id="7"/>
    </w:p>
    <w:p w14:paraId="0CE2EACB" w14:textId="5DFF5803" w:rsidR="00707410" w:rsidRDefault="00707410" w:rsidP="009909AB">
      <w:pPr>
        <w:pStyle w:val="ListParagraph"/>
        <w:numPr>
          <w:ilvl w:val="0"/>
          <w:numId w:val="21"/>
        </w:numPr>
        <w:jc w:val="both"/>
      </w:pPr>
      <w:bookmarkStart w:id="8" w:name="_Ref187145371"/>
      <w:r>
        <w:t>R2-240</w:t>
      </w:r>
      <w:r w:rsidR="008454FB">
        <w:t>5703</w:t>
      </w:r>
      <w:r>
        <w:t xml:space="preserve"> </w:t>
      </w:r>
      <w:r w:rsidRPr="00707410">
        <w:rPr>
          <w:i/>
          <w:iCs/>
        </w:rPr>
        <w:t>Report from Break-out session on NR-NTN and IoT-NTN</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5"/>
      <w:bookmarkEnd w:id="8"/>
    </w:p>
    <w:p w14:paraId="23CA8DDC" w14:textId="5F40B537" w:rsidR="00066878" w:rsidRDefault="00066878" w:rsidP="009909AB">
      <w:pPr>
        <w:pStyle w:val="ListParagraph"/>
        <w:numPr>
          <w:ilvl w:val="0"/>
          <w:numId w:val="21"/>
        </w:numPr>
        <w:jc w:val="both"/>
      </w:pPr>
      <w:bookmarkStart w:id="9" w:name="_Ref187145403"/>
      <w:r>
        <w:t xml:space="preserve">R2-2407573 </w:t>
      </w:r>
      <w:r w:rsidRPr="00707410">
        <w:rPr>
          <w:i/>
          <w:iCs/>
        </w:rPr>
        <w:t>Report from Break-out session on NR-NTN and IoT-NTN</w:t>
      </w:r>
      <w:r>
        <w:t xml:space="preserve"> 3GPP TSG-RAN WG2 Meeting #127 Maastricht, The Netherlands, Aug 19</w:t>
      </w:r>
      <w:r w:rsidRPr="00066878">
        <w:rPr>
          <w:vertAlign w:val="superscript"/>
        </w:rPr>
        <w:t>th</w:t>
      </w:r>
      <w:r>
        <w:t xml:space="preserve"> – 23</w:t>
      </w:r>
      <w:r w:rsidRPr="00066878">
        <w:rPr>
          <w:vertAlign w:val="superscript"/>
        </w:rPr>
        <w:t>rd</w:t>
      </w:r>
      <w:r>
        <w:t>, 2024</w:t>
      </w:r>
      <w:bookmarkEnd w:id="9"/>
    </w:p>
    <w:p w14:paraId="4E1CD745" w14:textId="1EE8B75A" w:rsidR="00FF5853" w:rsidRDefault="00BF354D" w:rsidP="009909AB">
      <w:pPr>
        <w:pStyle w:val="ListParagraph"/>
        <w:numPr>
          <w:ilvl w:val="0"/>
          <w:numId w:val="21"/>
        </w:numPr>
        <w:jc w:val="both"/>
      </w:pPr>
      <w:bookmarkStart w:id="10" w:name="_Ref187145391"/>
      <w:r>
        <w:t xml:space="preserve">R2-2407619 </w:t>
      </w:r>
      <w:r w:rsidRPr="00BF354D">
        <w:rPr>
          <w:i/>
          <w:iCs/>
        </w:rPr>
        <w:t>[Offline 307] [R19 NR NTN] service area information (Apple)</w:t>
      </w:r>
      <w:r>
        <w:t xml:space="preserve"> 3GPP TSG-RAN WG2 Meeting #127 Maastricht, The Netherlands, Aug 19</w:t>
      </w:r>
      <w:r w:rsidRPr="00066878">
        <w:rPr>
          <w:vertAlign w:val="superscript"/>
        </w:rPr>
        <w:t>th</w:t>
      </w:r>
      <w:r>
        <w:t xml:space="preserve"> – 23</w:t>
      </w:r>
      <w:r w:rsidRPr="00066878">
        <w:rPr>
          <w:vertAlign w:val="superscript"/>
        </w:rPr>
        <w:t>rd</w:t>
      </w:r>
      <w:r>
        <w:t>, 2024</w:t>
      </w:r>
      <w:bookmarkEnd w:id="10"/>
    </w:p>
    <w:p w14:paraId="7A7F3C6A" w14:textId="5EE65262" w:rsidR="00813C81" w:rsidRDefault="00813C81" w:rsidP="00531EC4">
      <w:pPr>
        <w:pStyle w:val="ListParagraph"/>
        <w:numPr>
          <w:ilvl w:val="0"/>
          <w:numId w:val="21"/>
        </w:numPr>
        <w:jc w:val="both"/>
      </w:pPr>
      <w:bookmarkStart w:id="11" w:name="_Ref165294893"/>
      <w:r w:rsidRPr="00813C81">
        <w:t>R2-2402355</w:t>
      </w:r>
      <w:r>
        <w:t xml:space="preserve">, </w:t>
      </w:r>
      <w:r w:rsidRPr="00287C85">
        <w:rPr>
          <w:i/>
          <w:iCs/>
        </w:rPr>
        <w:t>Discussion on support of broadcast service via NR NTN</w:t>
      </w:r>
      <w:r>
        <w:t>, CATT, China Broadnet,</w:t>
      </w:r>
      <w:r w:rsidR="00034765">
        <w:t xml:space="preserve"> </w:t>
      </w:r>
      <w:r w:rsidR="00D05E2B">
        <w:t>3GPP TSG RAN</w:t>
      </w:r>
      <w:r w:rsidR="009F703B">
        <w:t>2#125bis</w:t>
      </w:r>
      <w:r w:rsidR="00D05E2B">
        <w:t xml:space="preserve"> </w:t>
      </w:r>
      <w:r w:rsidR="009F703B">
        <w:t>meeting</w:t>
      </w:r>
      <w:r w:rsidR="00D71E16">
        <w:t>,</w:t>
      </w:r>
      <w:r w:rsidR="00D05E2B">
        <w:t xml:space="preserve"> Rel-19</w:t>
      </w:r>
      <w:r w:rsidR="009F703B">
        <w:t>, April 2024.</w:t>
      </w:r>
      <w:bookmarkEnd w:id="11"/>
    </w:p>
    <w:p w14:paraId="35F222F4" w14:textId="75AD49F9" w:rsidR="00080512" w:rsidRPr="00A209D6" w:rsidRDefault="00D344C0" w:rsidP="00303517">
      <w:pPr>
        <w:pStyle w:val="ListParagraph"/>
        <w:numPr>
          <w:ilvl w:val="0"/>
          <w:numId w:val="21"/>
        </w:numPr>
        <w:jc w:val="both"/>
      </w:pPr>
      <w:r>
        <w:t xml:space="preserve">R3-245844 </w:t>
      </w:r>
      <w:r w:rsidRPr="003E6933">
        <w:rPr>
          <w:i/>
          <w:iCs/>
        </w:rPr>
        <w:t>LS on Supporting MBS broadcast service for NR NTN</w:t>
      </w:r>
      <w:r w:rsidR="003E6933">
        <w:t xml:space="preserve"> 3GPP TSG RAN WG3 125-bis Hefei, China, 14 - 18 October, 2024</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8AF65" w14:textId="77777777" w:rsidR="0072659C" w:rsidRDefault="0072659C">
      <w:r>
        <w:separator/>
      </w:r>
    </w:p>
  </w:endnote>
  <w:endnote w:type="continuationSeparator" w:id="0">
    <w:p w14:paraId="0217A9B4" w14:textId="77777777" w:rsidR="0072659C" w:rsidRDefault="0072659C">
      <w:r>
        <w:continuationSeparator/>
      </w:r>
    </w:p>
  </w:endnote>
  <w:endnote w:type="continuationNotice" w:id="1">
    <w:p w14:paraId="0F728396" w14:textId="77777777" w:rsidR="0072659C" w:rsidRDefault="00726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B7EDB" w14:textId="77777777" w:rsidR="0072659C" w:rsidRDefault="0072659C">
      <w:r>
        <w:separator/>
      </w:r>
    </w:p>
  </w:footnote>
  <w:footnote w:type="continuationSeparator" w:id="0">
    <w:p w14:paraId="4C345877" w14:textId="77777777" w:rsidR="0072659C" w:rsidRDefault="0072659C">
      <w:r>
        <w:continuationSeparator/>
      </w:r>
    </w:p>
  </w:footnote>
  <w:footnote w:type="continuationNotice" w:id="1">
    <w:p w14:paraId="270C1A85" w14:textId="77777777" w:rsidR="0072659C" w:rsidRDefault="00726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901EFD"/>
    <w:multiLevelType w:val="hybridMultilevel"/>
    <w:tmpl w:val="5CF6E6F4"/>
    <w:lvl w:ilvl="0" w:tplc="9D46FE5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55B5103"/>
    <w:multiLevelType w:val="hybridMultilevel"/>
    <w:tmpl w:val="401E40B2"/>
    <w:lvl w:ilvl="0" w:tplc="381E2700">
      <w:start w:val="1"/>
      <w:numFmt w:val="bullet"/>
      <w:lvlText w:val=""/>
      <w:lvlJc w:val="left"/>
      <w:pPr>
        <w:ind w:left="2880" w:hanging="360"/>
      </w:pPr>
      <w:rPr>
        <w:rFonts w:ascii="Symbol" w:hAnsi="Symbol"/>
      </w:rPr>
    </w:lvl>
    <w:lvl w:ilvl="1" w:tplc="7E76F4FC">
      <w:start w:val="1"/>
      <w:numFmt w:val="bullet"/>
      <w:lvlText w:val=""/>
      <w:lvlJc w:val="left"/>
      <w:pPr>
        <w:ind w:left="2880" w:hanging="360"/>
      </w:pPr>
      <w:rPr>
        <w:rFonts w:ascii="Symbol" w:hAnsi="Symbol"/>
      </w:rPr>
    </w:lvl>
    <w:lvl w:ilvl="2" w:tplc="2FF8C8DA">
      <w:start w:val="1"/>
      <w:numFmt w:val="bullet"/>
      <w:lvlText w:val=""/>
      <w:lvlJc w:val="left"/>
      <w:pPr>
        <w:ind w:left="2880" w:hanging="360"/>
      </w:pPr>
      <w:rPr>
        <w:rFonts w:ascii="Symbol" w:hAnsi="Symbol"/>
      </w:rPr>
    </w:lvl>
    <w:lvl w:ilvl="3" w:tplc="FDE4CA9A">
      <w:start w:val="1"/>
      <w:numFmt w:val="bullet"/>
      <w:lvlText w:val=""/>
      <w:lvlJc w:val="left"/>
      <w:pPr>
        <w:ind w:left="2880" w:hanging="360"/>
      </w:pPr>
      <w:rPr>
        <w:rFonts w:ascii="Symbol" w:hAnsi="Symbol"/>
      </w:rPr>
    </w:lvl>
    <w:lvl w:ilvl="4" w:tplc="FF982D8A">
      <w:start w:val="1"/>
      <w:numFmt w:val="bullet"/>
      <w:lvlText w:val=""/>
      <w:lvlJc w:val="left"/>
      <w:pPr>
        <w:ind w:left="2880" w:hanging="360"/>
      </w:pPr>
      <w:rPr>
        <w:rFonts w:ascii="Symbol" w:hAnsi="Symbol"/>
      </w:rPr>
    </w:lvl>
    <w:lvl w:ilvl="5" w:tplc="5B509FBE">
      <w:start w:val="1"/>
      <w:numFmt w:val="bullet"/>
      <w:lvlText w:val=""/>
      <w:lvlJc w:val="left"/>
      <w:pPr>
        <w:ind w:left="2880" w:hanging="360"/>
      </w:pPr>
      <w:rPr>
        <w:rFonts w:ascii="Symbol" w:hAnsi="Symbol"/>
      </w:rPr>
    </w:lvl>
    <w:lvl w:ilvl="6" w:tplc="B92429D0">
      <w:start w:val="1"/>
      <w:numFmt w:val="bullet"/>
      <w:lvlText w:val=""/>
      <w:lvlJc w:val="left"/>
      <w:pPr>
        <w:ind w:left="2880" w:hanging="360"/>
      </w:pPr>
      <w:rPr>
        <w:rFonts w:ascii="Symbol" w:hAnsi="Symbol"/>
      </w:rPr>
    </w:lvl>
    <w:lvl w:ilvl="7" w:tplc="70C83A84">
      <w:start w:val="1"/>
      <w:numFmt w:val="bullet"/>
      <w:lvlText w:val=""/>
      <w:lvlJc w:val="left"/>
      <w:pPr>
        <w:ind w:left="2880" w:hanging="360"/>
      </w:pPr>
      <w:rPr>
        <w:rFonts w:ascii="Symbol" w:hAnsi="Symbol"/>
      </w:rPr>
    </w:lvl>
    <w:lvl w:ilvl="8" w:tplc="465CC9AC">
      <w:start w:val="1"/>
      <w:numFmt w:val="bullet"/>
      <w:lvlText w:val=""/>
      <w:lvlJc w:val="left"/>
      <w:pPr>
        <w:ind w:left="2880" w:hanging="360"/>
      </w:pPr>
      <w:rPr>
        <w:rFonts w:ascii="Symbol" w:hAnsi="Symbol"/>
      </w:rPr>
    </w:lvl>
  </w:abstractNum>
  <w:abstractNum w:abstractNumId="25"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C835FA"/>
    <w:multiLevelType w:val="hybridMultilevel"/>
    <w:tmpl w:val="CE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31"/>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7"/>
  </w:num>
  <w:num w:numId="20" w16cid:durableId="1969775248">
    <w:abstractNumId w:val="31"/>
  </w:num>
  <w:num w:numId="21" w16cid:durableId="1100298529">
    <w:abstractNumId w:val="30"/>
  </w:num>
  <w:num w:numId="22" w16cid:durableId="193007096">
    <w:abstractNumId w:val="13"/>
  </w:num>
  <w:num w:numId="23" w16cid:durableId="472908134">
    <w:abstractNumId w:val="25"/>
  </w:num>
  <w:num w:numId="24" w16cid:durableId="283198859">
    <w:abstractNumId w:val="26"/>
  </w:num>
  <w:num w:numId="25" w16cid:durableId="1450316911">
    <w:abstractNumId w:val="12"/>
  </w:num>
  <w:num w:numId="26" w16cid:durableId="1593737175">
    <w:abstractNumId w:val="20"/>
  </w:num>
  <w:num w:numId="27" w16cid:durableId="1587958594">
    <w:abstractNumId w:val="16"/>
  </w:num>
  <w:num w:numId="28" w16cid:durableId="335033584">
    <w:abstractNumId w:val="32"/>
  </w:num>
  <w:num w:numId="29" w16cid:durableId="619261675">
    <w:abstractNumId w:val="21"/>
  </w:num>
  <w:num w:numId="30" w16cid:durableId="1370759099">
    <w:abstractNumId w:val="29"/>
  </w:num>
  <w:num w:numId="31" w16cid:durableId="1002707105">
    <w:abstractNumId w:val="14"/>
  </w:num>
  <w:num w:numId="32" w16cid:durableId="679702598">
    <w:abstractNumId w:val="28"/>
  </w:num>
  <w:num w:numId="33" w16cid:durableId="429812777">
    <w:abstractNumId w:val="27"/>
  </w:num>
  <w:num w:numId="34" w16cid:durableId="590234436">
    <w:abstractNumId w:val="24"/>
  </w:num>
  <w:num w:numId="35" w16cid:durableId="7827275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8D"/>
    <w:rsid w:val="00006C10"/>
    <w:rsid w:val="00007FBC"/>
    <w:rsid w:val="00012AEE"/>
    <w:rsid w:val="000142E7"/>
    <w:rsid w:val="0001584D"/>
    <w:rsid w:val="000158A7"/>
    <w:rsid w:val="00016557"/>
    <w:rsid w:val="00016FB2"/>
    <w:rsid w:val="00020034"/>
    <w:rsid w:val="00023C40"/>
    <w:rsid w:val="0002494F"/>
    <w:rsid w:val="00024CF2"/>
    <w:rsid w:val="0002507D"/>
    <w:rsid w:val="000251DA"/>
    <w:rsid w:val="000259E6"/>
    <w:rsid w:val="00025AFB"/>
    <w:rsid w:val="00025E8D"/>
    <w:rsid w:val="00032E51"/>
    <w:rsid w:val="00033397"/>
    <w:rsid w:val="0003442E"/>
    <w:rsid w:val="00034765"/>
    <w:rsid w:val="00034C40"/>
    <w:rsid w:val="00040095"/>
    <w:rsid w:val="0004150A"/>
    <w:rsid w:val="00043311"/>
    <w:rsid w:val="00043ADA"/>
    <w:rsid w:val="00044254"/>
    <w:rsid w:val="0004517E"/>
    <w:rsid w:val="00047E70"/>
    <w:rsid w:val="00053FF9"/>
    <w:rsid w:val="00054A85"/>
    <w:rsid w:val="00055191"/>
    <w:rsid w:val="00056242"/>
    <w:rsid w:val="00056F03"/>
    <w:rsid w:val="000621CE"/>
    <w:rsid w:val="00065268"/>
    <w:rsid w:val="00066878"/>
    <w:rsid w:val="00073C9C"/>
    <w:rsid w:val="00073E55"/>
    <w:rsid w:val="00075628"/>
    <w:rsid w:val="00076412"/>
    <w:rsid w:val="000802E6"/>
    <w:rsid w:val="00080512"/>
    <w:rsid w:val="00082F48"/>
    <w:rsid w:val="00083242"/>
    <w:rsid w:val="00083D1A"/>
    <w:rsid w:val="00083F05"/>
    <w:rsid w:val="00090253"/>
    <w:rsid w:val="00090468"/>
    <w:rsid w:val="000907D9"/>
    <w:rsid w:val="00090E70"/>
    <w:rsid w:val="00094568"/>
    <w:rsid w:val="0009473A"/>
    <w:rsid w:val="000969FD"/>
    <w:rsid w:val="000A07E0"/>
    <w:rsid w:val="000A1EDA"/>
    <w:rsid w:val="000A3E38"/>
    <w:rsid w:val="000A5AA5"/>
    <w:rsid w:val="000A674E"/>
    <w:rsid w:val="000A78FB"/>
    <w:rsid w:val="000B0AEE"/>
    <w:rsid w:val="000B4BE7"/>
    <w:rsid w:val="000B7BCF"/>
    <w:rsid w:val="000C14C3"/>
    <w:rsid w:val="000C522B"/>
    <w:rsid w:val="000C5386"/>
    <w:rsid w:val="000D2E7C"/>
    <w:rsid w:val="000D5647"/>
    <w:rsid w:val="000D58AB"/>
    <w:rsid w:val="000E256D"/>
    <w:rsid w:val="000E38CA"/>
    <w:rsid w:val="000E4FC7"/>
    <w:rsid w:val="000E5F42"/>
    <w:rsid w:val="000E7FD4"/>
    <w:rsid w:val="000F03E1"/>
    <w:rsid w:val="000F56A6"/>
    <w:rsid w:val="000F7677"/>
    <w:rsid w:val="00102965"/>
    <w:rsid w:val="00106C5C"/>
    <w:rsid w:val="001072F9"/>
    <w:rsid w:val="00110328"/>
    <w:rsid w:val="00112F1A"/>
    <w:rsid w:val="001170BE"/>
    <w:rsid w:val="00121C85"/>
    <w:rsid w:val="001223CE"/>
    <w:rsid w:val="001224D6"/>
    <w:rsid w:val="0012610D"/>
    <w:rsid w:val="00127123"/>
    <w:rsid w:val="00127982"/>
    <w:rsid w:val="001318EB"/>
    <w:rsid w:val="00141EFC"/>
    <w:rsid w:val="00143AB7"/>
    <w:rsid w:val="00145075"/>
    <w:rsid w:val="0014576D"/>
    <w:rsid w:val="0014657D"/>
    <w:rsid w:val="0014728B"/>
    <w:rsid w:val="00147E97"/>
    <w:rsid w:val="0015252E"/>
    <w:rsid w:val="00155D65"/>
    <w:rsid w:val="00157D5D"/>
    <w:rsid w:val="0016317C"/>
    <w:rsid w:val="0016554A"/>
    <w:rsid w:val="001702AF"/>
    <w:rsid w:val="001704FE"/>
    <w:rsid w:val="001741A0"/>
    <w:rsid w:val="00175FA0"/>
    <w:rsid w:val="00176273"/>
    <w:rsid w:val="00180336"/>
    <w:rsid w:val="001814BB"/>
    <w:rsid w:val="00183206"/>
    <w:rsid w:val="0018420F"/>
    <w:rsid w:val="0018445A"/>
    <w:rsid w:val="0018542A"/>
    <w:rsid w:val="00186663"/>
    <w:rsid w:val="00186BA3"/>
    <w:rsid w:val="00187AFA"/>
    <w:rsid w:val="00187E72"/>
    <w:rsid w:val="001901AA"/>
    <w:rsid w:val="00192301"/>
    <w:rsid w:val="001931F5"/>
    <w:rsid w:val="0019378A"/>
    <w:rsid w:val="00193A16"/>
    <w:rsid w:val="00193C46"/>
    <w:rsid w:val="00194CD0"/>
    <w:rsid w:val="001A26BC"/>
    <w:rsid w:val="001A3A22"/>
    <w:rsid w:val="001A59EC"/>
    <w:rsid w:val="001B0D76"/>
    <w:rsid w:val="001B2C18"/>
    <w:rsid w:val="001B42D6"/>
    <w:rsid w:val="001B42E3"/>
    <w:rsid w:val="001B49C9"/>
    <w:rsid w:val="001C03C4"/>
    <w:rsid w:val="001C23F4"/>
    <w:rsid w:val="001C2845"/>
    <w:rsid w:val="001C3AB3"/>
    <w:rsid w:val="001C4F79"/>
    <w:rsid w:val="001C5234"/>
    <w:rsid w:val="001C555A"/>
    <w:rsid w:val="001E0388"/>
    <w:rsid w:val="001E354F"/>
    <w:rsid w:val="001E75CE"/>
    <w:rsid w:val="001F168B"/>
    <w:rsid w:val="001F3488"/>
    <w:rsid w:val="001F3B4B"/>
    <w:rsid w:val="001F7831"/>
    <w:rsid w:val="00201932"/>
    <w:rsid w:val="00203D64"/>
    <w:rsid w:val="00203E6B"/>
    <w:rsid w:val="00204045"/>
    <w:rsid w:val="0020712B"/>
    <w:rsid w:val="00207992"/>
    <w:rsid w:val="00214F43"/>
    <w:rsid w:val="00220F85"/>
    <w:rsid w:val="00221B40"/>
    <w:rsid w:val="002230D3"/>
    <w:rsid w:val="0022606D"/>
    <w:rsid w:val="002306E5"/>
    <w:rsid w:val="0023125D"/>
    <w:rsid w:val="00231728"/>
    <w:rsid w:val="00233681"/>
    <w:rsid w:val="002343A1"/>
    <w:rsid w:val="002357F9"/>
    <w:rsid w:val="00236A50"/>
    <w:rsid w:val="002378F8"/>
    <w:rsid w:val="002417D0"/>
    <w:rsid w:val="0024281B"/>
    <w:rsid w:val="00243874"/>
    <w:rsid w:val="00244620"/>
    <w:rsid w:val="00244A05"/>
    <w:rsid w:val="00244D83"/>
    <w:rsid w:val="002479B2"/>
    <w:rsid w:val="00250404"/>
    <w:rsid w:val="00253AE7"/>
    <w:rsid w:val="00254D5A"/>
    <w:rsid w:val="00256B74"/>
    <w:rsid w:val="00257400"/>
    <w:rsid w:val="00260BF1"/>
    <w:rsid w:val="002610D8"/>
    <w:rsid w:val="002619DD"/>
    <w:rsid w:val="002642C3"/>
    <w:rsid w:val="00267270"/>
    <w:rsid w:val="002706F8"/>
    <w:rsid w:val="00271F08"/>
    <w:rsid w:val="00272F51"/>
    <w:rsid w:val="00273848"/>
    <w:rsid w:val="00273AFE"/>
    <w:rsid w:val="002747EC"/>
    <w:rsid w:val="00275AFF"/>
    <w:rsid w:val="00277391"/>
    <w:rsid w:val="002855BF"/>
    <w:rsid w:val="00287C85"/>
    <w:rsid w:val="002905B7"/>
    <w:rsid w:val="00290A7C"/>
    <w:rsid w:val="002912E0"/>
    <w:rsid w:val="002A119C"/>
    <w:rsid w:val="002A2D66"/>
    <w:rsid w:val="002A3281"/>
    <w:rsid w:val="002A3738"/>
    <w:rsid w:val="002A77A2"/>
    <w:rsid w:val="002A7B46"/>
    <w:rsid w:val="002A7D2C"/>
    <w:rsid w:val="002B2988"/>
    <w:rsid w:val="002B40FF"/>
    <w:rsid w:val="002B6EB1"/>
    <w:rsid w:val="002B7EB9"/>
    <w:rsid w:val="002C0FE0"/>
    <w:rsid w:val="002C3682"/>
    <w:rsid w:val="002C64B3"/>
    <w:rsid w:val="002D0E55"/>
    <w:rsid w:val="002D494B"/>
    <w:rsid w:val="002D5586"/>
    <w:rsid w:val="002D6C1E"/>
    <w:rsid w:val="002D7956"/>
    <w:rsid w:val="002E5FEF"/>
    <w:rsid w:val="002F0D22"/>
    <w:rsid w:val="002F5306"/>
    <w:rsid w:val="002F740A"/>
    <w:rsid w:val="00303517"/>
    <w:rsid w:val="0030481E"/>
    <w:rsid w:val="00311B17"/>
    <w:rsid w:val="00312400"/>
    <w:rsid w:val="003146F4"/>
    <w:rsid w:val="00316976"/>
    <w:rsid w:val="00316F14"/>
    <w:rsid w:val="003172DC"/>
    <w:rsid w:val="00317AF6"/>
    <w:rsid w:val="00321348"/>
    <w:rsid w:val="00324519"/>
    <w:rsid w:val="00325AE3"/>
    <w:rsid w:val="00326069"/>
    <w:rsid w:val="003273BA"/>
    <w:rsid w:val="003277F3"/>
    <w:rsid w:val="00332D15"/>
    <w:rsid w:val="00334541"/>
    <w:rsid w:val="00334A07"/>
    <w:rsid w:val="0034322A"/>
    <w:rsid w:val="00352F9C"/>
    <w:rsid w:val="0035462D"/>
    <w:rsid w:val="00356A23"/>
    <w:rsid w:val="00356F1B"/>
    <w:rsid w:val="0036459E"/>
    <w:rsid w:val="00364B41"/>
    <w:rsid w:val="003739DD"/>
    <w:rsid w:val="00377FD5"/>
    <w:rsid w:val="00381E2C"/>
    <w:rsid w:val="00383096"/>
    <w:rsid w:val="0039346C"/>
    <w:rsid w:val="003937DD"/>
    <w:rsid w:val="003957CA"/>
    <w:rsid w:val="00397CDE"/>
    <w:rsid w:val="003A307D"/>
    <w:rsid w:val="003A3816"/>
    <w:rsid w:val="003A41EF"/>
    <w:rsid w:val="003A66CB"/>
    <w:rsid w:val="003A6FE2"/>
    <w:rsid w:val="003B13C2"/>
    <w:rsid w:val="003B40AD"/>
    <w:rsid w:val="003B5CCB"/>
    <w:rsid w:val="003B7F09"/>
    <w:rsid w:val="003C011F"/>
    <w:rsid w:val="003C203C"/>
    <w:rsid w:val="003C4073"/>
    <w:rsid w:val="003C49D7"/>
    <w:rsid w:val="003C4E37"/>
    <w:rsid w:val="003C76A4"/>
    <w:rsid w:val="003D0FD0"/>
    <w:rsid w:val="003E16BE"/>
    <w:rsid w:val="003E1A97"/>
    <w:rsid w:val="003E1AEE"/>
    <w:rsid w:val="003E1C91"/>
    <w:rsid w:val="003E6933"/>
    <w:rsid w:val="003E69F9"/>
    <w:rsid w:val="003E771E"/>
    <w:rsid w:val="003F086E"/>
    <w:rsid w:val="003F0A82"/>
    <w:rsid w:val="003F0AA7"/>
    <w:rsid w:val="003F167B"/>
    <w:rsid w:val="003F2C70"/>
    <w:rsid w:val="003F4E28"/>
    <w:rsid w:val="003F5FA9"/>
    <w:rsid w:val="003F76B6"/>
    <w:rsid w:val="004006B9"/>
    <w:rsid w:val="004006E8"/>
    <w:rsid w:val="00401855"/>
    <w:rsid w:val="00402CEC"/>
    <w:rsid w:val="00402E10"/>
    <w:rsid w:val="00403B5F"/>
    <w:rsid w:val="00404BC5"/>
    <w:rsid w:val="00405079"/>
    <w:rsid w:val="0040646A"/>
    <w:rsid w:val="00406F52"/>
    <w:rsid w:val="00407270"/>
    <w:rsid w:val="0040751D"/>
    <w:rsid w:val="00411B38"/>
    <w:rsid w:val="00416330"/>
    <w:rsid w:val="004163BE"/>
    <w:rsid w:val="00420AD1"/>
    <w:rsid w:val="0042249B"/>
    <w:rsid w:val="00423964"/>
    <w:rsid w:val="004268F6"/>
    <w:rsid w:val="00442BA6"/>
    <w:rsid w:val="00443CD6"/>
    <w:rsid w:val="0044443E"/>
    <w:rsid w:val="00446C3A"/>
    <w:rsid w:val="00447266"/>
    <w:rsid w:val="00450572"/>
    <w:rsid w:val="00454F59"/>
    <w:rsid w:val="004558BF"/>
    <w:rsid w:val="00455D50"/>
    <w:rsid w:val="00456EE9"/>
    <w:rsid w:val="004609F9"/>
    <w:rsid w:val="0046458C"/>
    <w:rsid w:val="00465587"/>
    <w:rsid w:val="00470E4A"/>
    <w:rsid w:val="00473318"/>
    <w:rsid w:val="004736B0"/>
    <w:rsid w:val="00474689"/>
    <w:rsid w:val="00477455"/>
    <w:rsid w:val="004777A3"/>
    <w:rsid w:val="004813CD"/>
    <w:rsid w:val="00485362"/>
    <w:rsid w:val="00486860"/>
    <w:rsid w:val="00487CE2"/>
    <w:rsid w:val="004905E3"/>
    <w:rsid w:val="00490A0E"/>
    <w:rsid w:val="00490BA7"/>
    <w:rsid w:val="00495273"/>
    <w:rsid w:val="00495D65"/>
    <w:rsid w:val="004A04FE"/>
    <w:rsid w:val="004A1699"/>
    <w:rsid w:val="004A1F7B"/>
    <w:rsid w:val="004A3CB1"/>
    <w:rsid w:val="004A74F6"/>
    <w:rsid w:val="004B65F7"/>
    <w:rsid w:val="004B66D8"/>
    <w:rsid w:val="004C1778"/>
    <w:rsid w:val="004C3E82"/>
    <w:rsid w:val="004C44D2"/>
    <w:rsid w:val="004C6D7A"/>
    <w:rsid w:val="004C7543"/>
    <w:rsid w:val="004D1EC1"/>
    <w:rsid w:val="004D3578"/>
    <w:rsid w:val="004D380D"/>
    <w:rsid w:val="004D4537"/>
    <w:rsid w:val="004D6387"/>
    <w:rsid w:val="004E213A"/>
    <w:rsid w:val="004E32CD"/>
    <w:rsid w:val="004E7553"/>
    <w:rsid w:val="004F2068"/>
    <w:rsid w:val="004F28F9"/>
    <w:rsid w:val="004F392F"/>
    <w:rsid w:val="004F394C"/>
    <w:rsid w:val="004F4540"/>
    <w:rsid w:val="004F60D3"/>
    <w:rsid w:val="004F73A7"/>
    <w:rsid w:val="00503171"/>
    <w:rsid w:val="00504244"/>
    <w:rsid w:val="00506C28"/>
    <w:rsid w:val="00507742"/>
    <w:rsid w:val="00513F96"/>
    <w:rsid w:val="00514F41"/>
    <w:rsid w:val="00516B1B"/>
    <w:rsid w:val="00520731"/>
    <w:rsid w:val="00522E07"/>
    <w:rsid w:val="0052369C"/>
    <w:rsid w:val="0052429F"/>
    <w:rsid w:val="0052433F"/>
    <w:rsid w:val="0052479C"/>
    <w:rsid w:val="005261C4"/>
    <w:rsid w:val="00531EC4"/>
    <w:rsid w:val="00532B63"/>
    <w:rsid w:val="00534DA0"/>
    <w:rsid w:val="00534ECF"/>
    <w:rsid w:val="0053677B"/>
    <w:rsid w:val="00537809"/>
    <w:rsid w:val="005432D9"/>
    <w:rsid w:val="00543E6C"/>
    <w:rsid w:val="00545A6B"/>
    <w:rsid w:val="00551255"/>
    <w:rsid w:val="0055657A"/>
    <w:rsid w:val="00561E75"/>
    <w:rsid w:val="005621CD"/>
    <w:rsid w:val="00565087"/>
    <w:rsid w:val="0056573F"/>
    <w:rsid w:val="00571279"/>
    <w:rsid w:val="00575FC5"/>
    <w:rsid w:val="005764A8"/>
    <w:rsid w:val="00577785"/>
    <w:rsid w:val="00577E4D"/>
    <w:rsid w:val="00580675"/>
    <w:rsid w:val="00585084"/>
    <w:rsid w:val="00585D0D"/>
    <w:rsid w:val="00585E4B"/>
    <w:rsid w:val="005860C7"/>
    <w:rsid w:val="0058750E"/>
    <w:rsid w:val="0059322F"/>
    <w:rsid w:val="00593A3E"/>
    <w:rsid w:val="00594A8C"/>
    <w:rsid w:val="005A1129"/>
    <w:rsid w:val="005A13AB"/>
    <w:rsid w:val="005A49C6"/>
    <w:rsid w:val="005B185B"/>
    <w:rsid w:val="005B3273"/>
    <w:rsid w:val="005B4F61"/>
    <w:rsid w:val="005C0C9A"/>
    <w:rsid w:val="005C1DB6"/>
    <w:rsid w:val="005C766E"/>
    <w:rsid w:val="005C7CD5"/>
    <w:rsid w:val="005D0076"/>
    <w:rsid w:val="005D37A0"/>
    <w:rsid w:val="005D4614"/>
    <w:rsid w:val="005D47CB"/>
    <w:rsid w:val="005D4A10"/>
    <w:rsid w:val="005D600F"/>
    <w:rsid w:val="005E2AE8"/>
    <w:rsid w:val="005E4EAB"/>
    <w:rsid w:val="005E7DA2"/>
    <w:rsid w:val="005F052B"/>
    <w:rsid w:val="005F26FE"/>
    <w:rsid w:val="005F275C"/>
    <w:rsid w:val="005F2ADB"/>
    <w:rsid w:val="005F5804"/>
    <w:rsid w:val="005F7A3B"/>
    <w:rsid w:val="006017FD"/>
    <w:rsid w:val="006019C9"/>
    <w:rsid w:val="00606351"/>
    <w:rsid w:val="00610965"/>
    <w:rsid w:val="00611091"/>
    <w:rsid w:val="00611566"/>
    <w:rsid w:val="006121EC"/>
    <w:rsid w:val="00612935"/>
    <w:rsid w:val="006146CC"/>
    <w:rsid w:val="0061529E"/>
    <w:rsid w:val="00621295"/>
    <w:rsid w:val="00622F9F"/>
    <w:rsid w:val="006323A6"/>
    <w:rsid w:val="00632E7B"/>
    <w:rsid w:val="00634EE7"/>
    <w:rsid w:val="006377A6"/>
    <w:rsid w:val="00637A22"/>
    <w:rsid w:val="00640BE7"/>
    <w:rsid w:val="00640CFD"/>
    <w:rsid w:val="00642598"/>
    <w:rsid w:val="00643095"/>
    <w:rsid w:val="0064322B"/>
    <w:rsid w:val="006435CE"/>
    <w:rsid w:val="00644C77"/>
    <w:rsid w:val="00646D99"/>
    <w:rsid w:val="00650D68"/>
    <w:rsid w:val="006513CB"/>
    <w:rsid w:val="0065220E"/>
    <w:rsid w:val="00652B87"/>
    <w:rsid w:val="00656910"/>
    <w:rsid w:val="006574C0"/>
    <w:rsid w:val="00660412"/>
    <w:rsid w:val="00660BAC"/>
    <w:rsid w:val="00661449"/>
    <w:rsid w:val="00663418"/>
    <w:rsid w:val="006657D4"/>
    <w:rsid w:val="0066730D"/>
    <w:rsid w:val="00667A09"/>
    <w:rsid w:val="0067273D"/>
    <w:rsid w:val="006771B2"/>
    <w:rsid w:val="0068430C"/>
    <w:rsid w:val="00696794"/>
    <w:rsid w:val="00696821"/>
    <w:rsid w:val="00697381"/>
    <w:rsid w:val="00697FFB"/>
    <w:rsid w:val="006A39A7"/>
    <w:rsid w:val="006A4380"/>
    <w:rsid w:val="006A4B98"/>
    <w:rsid w:val="006A5229"/>
    <w:rsid w:val="006A5304"/>
    <w:rsid w:val="006B22CC"/>
    <w:rsid w:val="006B31CD"/>
    <w:rsid w:val="006B3E69"/>
    <w:rsid w:val="006B4F94"/>
    <w:rsid w:val="006B5D51"/>
    <w:rsid w:val="006B7DF2"/>
    <w:rsid w:val="006C169B"/>
    <w:rsid w:val="006C66D8"/>
    <w:rsid w:val="006C79DD"/>
    <w:rsid w:val="006D1787"/>
    <w:rsid w:val="006D1E24"/>
    <w:rsid w:val="006D2238"/>
    <w:rsid w:val="006D2FFD"/>
    <w:rsid w:val="006D35DE"/>
    <w:rsid w:val="006D3FDF"/>
    <w:rsid w:val="006D4A1B"/>
    <w:rsid w:val="006D7CA2"/>
    <w:rsid w:val="006E0152"/>
    <w:rsid w:val="006E1057"/>
    <w:rsid w:val="006E1417"/>
    <w:rsid w:val="006E1F58"/>
    <w:rsid w:val="006E2BED"/>
    <w:rsid w:val="006E2D10"/>
    <w:rsid w:val="006E42F8"/>
    <w:rsid w:val="006E6576"/>
    <w:rsid w:val="006E70F8"/>
    <w:rsid w:val="006F6A2C"/>
    <w:rsid w:val="007005C5"/>
    <w:rsid w:val="00701510"/>
    <w:rsid w:val="007054EB"/>
    <w:rsid w:val="007069DC"/>
    <w:rsid w:val="00707362"/>
    <w:rsid w:val="00707410"/>
    <w:rsid w:val="00710201"/>
    <w:rsid w:val="00715941"/>
    <w:rsid w:val="007161F2"/>
    <w:rsid w:val="00717297"/>
    <w:rsid w:val="00720571"/>
    <w:rsid w:val="0072073A"/>
    <w:rsid w:val="0072217E"/>
    <w:rsid w:val="00723625"/>
    <w:rsid w:val="00723B23"/>
    <w:rsid w:val="00723CC8"/>
    <w:rsid w:val="00724E9E"/>
    <w:rsid w:val="0072659C"/>
    <w:rsid w:val="00727C2F"/>
    <w:rsid w:val="007342B5"/>
    <w:rsid w:val="007347E5"/>
    <w:rsid w:val="00734A5B"/>
    <w:rsid w:val="0073531A"/>
    <w:rsid w:val="00735FE8"/>
    <w:rsid w:val="007370DA"/>
    <w:rsid w:val="00737EB9"/>
    <w:rsid w:val="00743BBD"/>
    <w:rsid w:val="0074420E"/>
    <w:rsid w:val="00744E76"/>
    <w:rsid w:val="00750873"/>
    <w:rsid w:val="00751951"/>
    <w:rsid w:val="007526EC"/>
    <w:rsid w:val="007569D2"/>
    <w:rsid w:val="00756BC8"/>
    <w:rsid w:val="00757D40"/>
    <w:rsid w:val="00760F74"/>
    <w:rsid w:val="007618E8"/>
    <w:rsid w:val="00762A63"/>
    <w:rsid w:val="0076453F"/>
    <w:rsid w:val="007646D7"/>
    <w:rsid w:val="007662B5"/>
    <w:rsid w:val="00766A02"/>
    <w:rsid w:val="007712F9"/>
    <w:rsid w:val="00773AC5"/>
    <w:rsid w:val="00773C08"/>
    <w:rsid w:val="00773F14"/>
    <w:rsid w:val="00775DAD"/>
    <w:rsid w:val="00776632"/>
    <w:rsid w:val="00776C37"/>
    <w:rsid w:val="00781552"/>
    <w:rsid w:val="00781F0F"/>
    <w:rsid w:val="00783AF2"/>
    <w:rsid w:val="0078727C"/>
    <w:rsid w:val="007872B9"/>
    <w:rsid w:val="0079049D"/>
    <w:rsid w:val="00793DC5"/>
    <w:rsid w:val="00796823"/>
    <w:rsid w:val="007A2E55"/>
    <w:rsid w:val="007A3828"/>
    <w:rsid w:val="007A4A3C"/>
    <w:rsid w:val="007A4C18"/>
    <w:rsid w:val="007B1161"/>
    <w:rsid w:val="007B12B9"/>
    <w:rsid w:val="007B18D8"/>
    <w:rsid w:val="007B3CDC"/>
    <w:rsid w:val="007B46A2"/>
    <w:rsid w:val="007B6DE9"/>
    <w:rsid w:val="007C0182"/>
    <w:rsid w:val="007C07E3"/>
    <w:rsid w:val="007C095F"/>
    <w:rsid w:val="007C2DD0"/>
    <w:rsid w:val="007C3E35"/>
    <w:rsid w:val="007C501A"/>
    <w:rsid w:val="007C7208"/>
    <w:rsid w:val="007D076B"/>
    <w:rsid w:val="007D1130"/>
    <w:rsid w:val="007D2276"/>
    <w:rsid w:val="007D534B"/>
    <w:rsid w:val="007D72E7"/>
    <w:rsid w:val="007D792C"/>
    <w:rsid w:val="007E3102"/>
    <w:rsid w:val="007E6890"/>
    <w:rsid w:val="007E68CD"/>
    <w:rsid w:val="007F2E08"/>
    <w:rsid w:val="007F4C07"/>
    <w:rsid w:val="007F4E5F"/>
    <w:rsid w:val="007F6135"/>
    <w:rsid w:val="008000E0"/>
    <w:rsid w:val="008018AD"/>
    <w:rsid w:val="008024FA"/>
    <w:rsid w:val="008028A4"/>
    <w:rsid w:val="00805751"/>
    <w:rsid w:val="008125A0"/>
    <w:rsid w:val="0081289C"/>
    <w:rsid w:val="00812E37"/>
    <w:rsid w:val="00812FC9"/>
    <w:rsid w:val="00813245"/>
    <w:rsid w:val="008138FF"/>
    <w:rsid w:val="00813C81"/>
    <w:rsid w:val="0081472F"/>
    <w:rsid w:val="00815351"/>
    <w:rsid w:val="00816692"/>
    <w:rsid w:val="00820A91"/>
    <w:rsid w:val="00823ED8"/>
    <w:rsid w:val="008247A4"/>
    <w:rsid w:val="00825732"/>
    <w:rsid w:val="008258CC"/>
    <w:rsid w:val="00826CEE"/>
    <w:rsid w:val="00827D3D"/>
    <w:rsid w:val="008306A3"/>
    <w:rsid w:val="0083542D"/>
    <w:rsid w:val="00835F3D"/>
    <w:rsid w:val="00840DE0"/>
    <w:rsid w:val="00841B1D"/>
    <w:rsid w:val="0084268F"/>
    <w:rsid w:val="0084294C"/>
    <w:rsid w:val="00842C81"/>
    <w:rsid w:val="00843919"/>
    <w:rsid w:val="00843A9C"/>
    <w:rsid w:val="00844EE5"/>
    <w:rsid w:val="008454FB"/>
    <w:rsid w:val="00845A00"/>
    <w:rsid w:val="00845C15"/>
    <w:rsid w:val="00847CD0"/>
    <w:rsid w:val="0085186B"/>
    <w:rsid w:val="00852639"/>
    <w:rsid w:val="00854692"/>
    <w:rsid w:val="00855059"/>
    <w:rsid w:val="0085577D"/>
    <w:rsid w:val="008562AD"/>
    <w:rsid w:val="008577F2"/>
    <w:rsid w:val="008607A8"/>
    <w:rsid w:val="00861F35"/>
    <w:rsid w:val="0086354A"/>
    <w:rsid w:val="00864175"/>
    <w:rsid w:val="00867E2C"/>
    <w:rsid w:val="008711EA"/>
    <w:rsid w:val="00871447"/>
    <w:rsid w:val="008768CA"/>
    <w:rsid w:val="00876C43"/>
    <w:rsid w:val="00877B9D"/>
    <w:rsid w:val="00877C09"/>
    <w:rsid w:val="00877EF9"/>
    <w:rsid w:val="00880559"/>
    <w:rsid w:val="00880EAE"/>
    <w:rsid w:val="00881107"/>
    <w:rsid w:val="00881260"/>
    <w:rsid w:val="00881391"/>
    <w:rsid w:val="00881CEB"/>
    <w:rsid w:val="008850D9"/>
    <w:rsid w:val="008855C0"/>
    <w:rsid w:val="00886807"/>
    <w:rsid w:val="00887530"/>
    <w:rsid w:val="00887682"/>
    <w:rsid w:val="00887D76"/>
    <w:rsid w:val="00891DC7"/>
    <w:rsid w:val="00892A26"/>
    <w:rsid w:val="008A1478"/>
    <w:rsid w:val="008A2D64"/>
    <w:rsid w:val="008A2F20"/>
    <w:rsid w:val="008B340E"/>
    <w:rsid w:val="008B5306"/>
    <w:rsid w:val="008B54E8"/>
    <w:rsid w:val="008B61E3"/>
    <w:rsid w:val="008C01F2"/>
    <w:rsid w:val="008C0580"/>
    <w:rsid w:val="008C14BF"/>
    <w:rsid w:val="008C2B4B"/>
    <w:rsid w:val="008C2E2A"/>
    <w:rsid w:val="008C3057"/>
    <w:rsid w:val="008C30B7"/>
    <w:rsid w:val="008D12F3"/>
    <w:rsid w:val="008D1E18"/>
    <w:rsid w:val="008D2C2C"/>
    <w:rsid w:val="008D2E4D"/>
    <w:rsid w:val="008D4614"/>
    <w:rsid w:val="008D5359"/>
    <w:rsid w:val="008D5762"/>
    <w:rsid w:val="008D60F8"/>
    <w:rsid w:val="008E11BF"/>
    <w:rsid w:val="008E325E"/>
    <w:rsid w:val="008E3309"/>
    <w:rsid w:val="008E373C"/>
    <w:rsid w:val="008E629C"/>
    <w:rsid w:val="008E63F2"/>
    <w:rsid w:val="008F2EE1"/>
    <w:rsid w:val="008F396F"/>
    <w:rsid w:val="008F3DCD"/>
    <w:rsid w:val="009009BC"/>
    <w:rsid w:val="0090271F"/>
    <w:rsid w:val="00902DB9"/>
    <w:rsid w:val="0090372B"/>
    <w:rsid w:val="0090466A"/>
    <w:rsid w:val="009054A9"/>
    <w:rsid w:val="00905712"/>
    <w:rsid w:val="00905E5A"/>
    <w:rsid w:val="00913272"/>
    <w:rsid w:val="00914953"/>
    <w:rsid w:val="00917AD0"/>
    <w:rsid w:val="009219D2"/>
    <w:rsid w:val="00923655"/>
    <w:rsid w:val="009248C6"/>
    <w:rsid w:val="009267D5"/>
    <w:rsid w:val="009330FB"/>
    <w:rsid w:val="009339CB"/>
    <w:rsid w:val="0093453D"/>
    <w:rsid w:val="009354F5"/>
    <w:rsid w:val="00936071"/>
    <w:rsid w:val="0093664C"/>
    <w:rsid w:val="009368E6"/>
    <w:rsid w:val="0093705B"/>
    <w:rsid w:val="00937632"/>
    <w:rsid w:val="009376CD"/>
    <w:rsid w:val="00940212"/>
    <w:rsid w:val="00942EC2"/>
    <w:rsid w:val="0094762E"/>
    <w:rsid w:val="00950037"/>
    <w:rsid w:val="009525FB"/>
    <w:rsid w:val="00953DB9"/>
    <w:rsid w:val="00954390"/>
    <w:rsid w:val="009566C1"/>
    <w:rsid w:val="00961B32"/>
    <w:rsid w:val="00962509"/>
    <w:rsid w:val="0096250F"/>
    <w:rsid w:val="0096658C"/>
    <w:rsid w:val="00967C5A"/>
    <w:rsid w:val="00967FBB"/>
    <w:rsid w:val="00970064"/>
    <w:rsid w:val="00970DB3"/>
    <w:rsid w:val="0097135E"/>
    <w:rsid w:val="00972E54"/>
    <w:rsid w:val="00974244"/>
    <w:rsid w:val="00974570"/>
    <w:rsid w:val="00974BB0"/>
    <w:rsid w:val="00975BCD"/>
    <w:rsid w:val="00977FEE"/>
    <w:rsid w:val="009818A2"/>
    <w:rsid w:val="00982986"/>
    <w:rsid w:val="009836B0"/>
    <w:rsid w:val="00984808"/>
    <w:rsid w:val="0099099F"/>
    <w:rsid w:val="009909AB"/>
    <w:rsid w:val="009928A9"/>
    <w:rsid w:val="00992ABD"/>
    <w:rsid w:val="009959AE"/>
    <w:rsid w:val="009962D2"/>
    <w:rsid w:val="00996FCA"/>
    <w:rsid w:val="00997A08"/>
    <w:rsid w:val="009A0AF3"/>
    <w:rsid w:val="009A0C84"/>
    <w:rsid w:val="009A3B36"/>
    <w:rsid w:val="009A4EDE"/>
    <w:rsid w:val="009A5C84"/>
    <w:rsid w:val="009A6980"/>
    <w:rsid w:val="009B0288"/>
    <w:rsid w:val="009B07CD"/>
    <w:rsid w:val="009B1B54"/>
    <w:rsid w:val="009B30DD"/>
    <w:rsid w:val="009B6E63"/>
    <w:rsid w:val="009B7919"/>
    <w:rsid w:val="009C19E9"/>
    <w:rsid w:val="009C1BD4"/>
    <w:rsid w:val="009C582F"/>
    <w:rsid w:val="009D0DF8"/>
    <w:rsid w:val="009D10A8"/>
    <w:rsid w:val="009D5F21"/>
    <w:rsid w:val="009D63A1"/>
    <w:rsid w:val="009D74A6"/>
    <w:rsid w:val="009E0E87"/>
    <w:rsid w:val="009E2196"/>
    <w:rsid w:val="009E4019"/>
    <w:rsid w:val="009F14E4"/>
    <w:rsid w:val="009F2B32"/>
    <w:rsid w:val="009F703B"/>
    <w:rsid w:val="00A01539"/>
    <w:rsid w:val="00A01790"/>
    <w:rsid w:val="00A0402C"/>
    <w:rsid w:val="00A10F02"/>
    <w:rsid w:val="00A16127"/>
    <w:rsid w:val="00A1616B"/>
    <w:rsid w:val="00A17176"/>
    <w:rsid w:val="00A17EAD"/>
    <w:rsid w:val="00A204CA"/>
    <w:rsid w:val="00A209D6"/>
    <w:rsid w:val="00A22738"/>
    <w:rsid w:val="00A22C77"/>
    <w:rsid w:val="00A2443A"/>
    <w:rsid w:val="00A247F5"/>
    <w:rsid w:val="00A2572C"/>
    <w:rsid w:val="00A258BB"/>
    <w:rsid w:val="00A2692A"/>
    <w:rsid w:val="00A30085"/>
    <w:rsid w:val="00A31DCC"/>
    <w:rsid w:val="00A320DA"/>
    <w:rsid w:val="00A327FA"/>
    <w:rsid w:val="00A36F5F"/>
    <w:rsid w:val="00A41C68"/>
    <w:rsid w:val="00A42A72"/>
    <w:rsid w:val="00A430EC"/>
    <w:rsid w:val="00A44082"/>
    <w:rsid w:val="00A46135"/>
    <w:rsid w:val="00A50056"/>
    <w:rsid w:val="00A51D60"/>
    <w:rsid w:val="00A51D90"/>
    <w:rsid w:val="00A52483"/>
    <w:rsid w:val="00A53724"/>
    <w:rsid w:val="00A54875"/>
    <w:rsid w:val="00A54B2B"/>
    <w:rsid w:val="00A54D8F"/>
    <w:rsid w:val="00A55EDE"/>
    <w:rsid w:val="00A62BC9"/>
    <w:rsid w:val="00A679EC"/>
    <w:rsid w:val="00A703B6"/>
    <w:rsid w:val="00A72C67"/>
    <w:rsid w:val="00A73935"/>
    <w:rsid w:val="00A753EB"/>
    <w:rsid w:val="00A82346"/>
    <w:rsid w:val="00A83893"/>
    <w:rsid w:val="00A843EF"/>
    <w:rsid w:val="00A86A21"/>
    <w:rsid w:val="00A90E15"/>
    <w:rsid w:val="00A910AD"/>
    <w:rsid w:val="00A927AD"/>
    <w:rsid w:val="00A96145"/>
    <w:rsid w:val="00A9671C"/>
    <w:rsid w:val="00A96906"/>
    <w:rsid w:val="00AA1553"/>
    <w:rsid w:val="00AA233B"/>
    <w:rsid w:val="00AA2E17"/>
    <w:rsid w:val="00AA5E3B"/>
    <w:rsid w:val="00AA705D"/>
    <w:rsid w:val="00AA7156"/>
    <w:rsid w:val="00AB1A0C"/>
    <w:rsid w:val="00AB4126"/>
    <w:rsid w:val="00AB42BB"/>
    <w:rsid w:val="00AB4497"/>
    <w:rsid w:val="00AB7E17"/>
    <w:rsid w:val="00AC18E4"/>
    <w:rsid w:val="00AC2E1E"/>
    <w:rsid w:val="00AC33D7"/>
    <w:rsid w:val="00AC472F"/>
    <w:rsid w:val="00AC4B19"/>
    <w:rsid w:val="00AC5DDC"/>
    <w:rsid w:val="00AD02B5"/>
    <w:rsid w:val="00AD25AE"/>
    <w:rsid w:val="00AD3F23"/>
    <w:rsid w:val="00AD5D30"/>
    <w:rsid w:val="00AD6259"/>
    <w:rsid w:val="00AD62D3"/>
    <w:rsid w:val="00AD7E23"/>
    <w:rsid w:val="00AD7E7C"/>
    <w:rsid w:val="00AE0E32"/>
    <w:rsid w:val="00AF0A02"/>
    <w:rsid w:val="00AF22EB"/>
    <w:rsid w:val="00AF367A"/>
    <w:rsid w:val="00AF49BE"/>
    <w:rsid w:val="00AF79C8"/>
    <w:rsid w:val="00B05380"/>
    <w:rsid w:val="00B05962"/>
    <w:rsid w:val="00B06ACD"/>
    <w:rsid w:val="00B12BB2"/>
    <w:rsid w:val="00B1346D"/>
    <w:rsid w:val="00B15449"/>
    <w:rsid w:val="00B167E4"/>
    <w:rsid w:val="00B16C2F"/>
    <w:rsid w:val="00B16D68"/>
    <w:rsid w:val="00B21241"/>
    <w:rsid w:val="00B24B5E"/>
    <w:rsid w:val="00B24F8B"/>
    <w:rsid w:val="00B258EB"/>
    <w:rsid w:val="00B25B40"/>
    <w:rsid w:val="00B27303"/>
    <w:rsid w:val="00B27965"/>
    <w:rsid w:val="00B31EE4"/>
    <w:rsid w:val="00B3287A"/>
    <w:rsid w:val="00B35D34"/>
    <w:rsid w:val="00B37D9E"/>
    <w:rsid w:val="00B41E59"/>
    <w:rsid w:val="00B4617C"/>
    <w:rsid w:val="00B47FD1"/>
    <w:rsid w:val="00B516BB"/>
    <w:rsid w:val="00B51DEF"/>
    <w:rsid w:val="00B53A30"/>
    <w:rsid w:val="00B54A9C"/>
    <w:rsid w:val="00B54FBA"/>
    <w:rsid w:val="00B56389"/>
    <w:rsid w:val="00B5751D"/>
    <w:rsid w:val="00B60015"/>
    <w:rsid w:val="00B6058B"/>
    <w:rsid w:val="00B61689"/>
    <w:rsid w:val="00B65222"/>
    <w:rsid w:val="00B65E61"/>
    <w:rsid w:val="00B65FEC"/>
    <w:rsid w:val="00B669E9"/>
    <w:rsid w:val="00B70081"/>
    <w:rsid w:val="00B70E38"/>
    <w:rsid w:val="00B74325"/>
    <w:rsid w:val="00B7538C"/>
    <w:rsid w:val="00B75D6E"/>
    <w:rsid w:val="00B76C27"/>
    <w:rsid w:val="00B80D03"/>
    <w:rsid w:val="00B80FAD"/>
    <w:rsid w:val="00B82087"/>
    <w:rsid w:val="00B82F8C"/>
    <w:rsid w:val="00B8410D"/>
    <w:rsid w:val="00B84639"/>
    <w:rsid w:val="00B84DB2"/>
    <w:rsid w:val="00B85937"/>
    <w:rsid w:val="00B86240"/>
    <w:rsid w:val="00B870AB"/>
    <w:rsid w:val="00BA289F"/>
    <w:rsid w:val="00BA4CF8"/>
    <w:rsid w:val="00BA7BD2"/>
    <w:rsid w:val="00BB6C7A"/>
    <w:rsid w:val="00BC3555"/>
    <w:rsid w:val="00BD0B8D"/>
    <w:rsid w:val="00BD7160"/>
    <w:rsid w:val="00BD7A4B"/>
    <w:rsid w:val="00BD7B35"/>
    <w:rsid w:val="00BE0F25"/>
    <w:rsid w:val="00BE3579"/>
    <w:rsid w:val="00BF1C57"/>
    <w:rsid w:val="00BF2EE7"/>
    <w:rsid w:val="00BF354D"/>
    <w:rsid w:val="00BF3756"/>
    <w:rsid w:val="00BF428B"/>
    <w:rsid w:val="00BF4EB8"/>
    <w:rsid w:val="00BF6A6E"/>
    <w:rsid w:val="00BF7D70"/>
    <w:rsid w:val="00C0039D"/>
    <w:rsid w:val="00C00932"/>
    <w:rsid w:val="00C01286"/>
    <w:rsid w:val="00C04382"/>
    <w:rsid w:val="00C05DE1"/>
    <w:rsid w:val="00C06023"/>
    <w:rsid w:val="00C06836"/>
    <w:rsid w:val="00C06B79"/>
    <w:rsid w:val="00C07094"/>
    <w:rsid w:val="00C10AED"/>
    <w:rsid w:val="00C12B51"/>
    <w:rsid w:val="00C13AE2"/>
    <w:rsid w:val="00C15191"/>
    <w:rsid w:val="00C24650"/>
    <w:rsid w:val="00C25465"/>
    <w:rsid w:val="00C26BA6"/>
    <w:rsid w:val="00C31806"/>
    <w:rsid w:val="00C33079"/>
    <w:rsid w:val="00C3353C"/>
    <w:rsid w:val="00C362BE"/>
    <w:rsid w:val="00C37424"/>
    <w:rsid w:val="00C40D84"/>
    <w:rsid w:val="00C40DD6"/>
    <w:rsid w:val="00C432A0"/>
    <w:rsid w:val="00C43338"/>
    <w:rsid w:val="00C4795D"/>
    <w:rsid w:val="00C513E7"/>
    <w:rsid w:val="00C52D06"/>
    <w:rsid w:val="00C55A12"/>
    <w:rsid w:val="00C566E5"/>
    <w:rsid w:val="00C60565"/>
    <w:rsid w:val="00C64D48"/>
    <w:rsid w:val="00C6553E"/>
    <w:rsid w:val="00C70BCE"/>
    <w:rsid w:val="00C70F0B"/>
    <w:rsid w:val="00C72ED5"/>
    <w:rsid w:val="00C7696A"/>
    <w:rsid w:val="00C77E42"/>
    <w:rsid w:val="00C80B75"/>
    <w:rsid w:val="00C82AC3"/>
    <w:rsid w:val="00C83A13"/>
    <w:rsid w:val="00C86F10"/>
    <w:rsid w:val="00C9068C"/>
    <w:rsid w:val="00C92847"/>
    <w:rsid w:val="00C92967"/>
    <w:rsid w:val="00C95585"/>
    <w:rsid w:val="00C9753E"/>
    <w:rsid w:val="00CA3D0C"/>
    <w:rsid w:val="00CA42AD"/>
    <w:rsid w:val="00CA42DD"/>
    <w:rsid w:val="00CA654B"/>
    <w:rsid w:val="00CA7CBB"/>
    <w:rsid w:val="00CB0292"/>
    <w:rsid w:val="00CB0CA7"/>
    <w:rsid w:val="00CB449E"/>
    <w:rsid w:val="00CB50C1"/>
    <w:rsid w:val="00CB5308"/>
    <w:rsid w:val="00CB72B8"/>
    <w:rsid w:val="00CB78FC"/>
    <w:rsid w:val="00CC4BBF"/>
    <w:rsid w:val="00CD0903"/>
    <w:rsid w:val="00CD0BA8"/>
    <w:rsid w:val="00CD3334"/>
    <w:rsid w:val="00CD4C7B"/>
    <w:rsid w:val="00CD58FE"/>
    <w:rsid w:val="00CE043F"/>
    <w:rsid w:val="00CE3F0F"/>
    <w:rsid w:val="00CE6574"/>
    <w:rsid w:val="00CE7E25"/>
    <w:rsid w:val="00CF1550"/>
    <w:rsid w:val="00CF7CE3"/>
    <w:rsid w:val="00D03A71"/>
    <w:rsid w:val="00D05E2B"/>
    <w:rsid w:val="00D11BA2"/>
    <w:rsid w:val="00D11C72"/>
    <w:rsid w:val="00D14F99"/>
    <w:rsid w:val="00D203B1"/>
    <w:rsid w:val="00D20456"/>
    <w:rsid w:val="00D2305D"/>
    <w:rsid w:val="00D23584"/>
    <w:rsid w:val="00D260AD"/>
    <w:rsid w:val="00D33BE3"/>
    <w:rsid w:val="00D344C0"/>
    <w:rsid w:val="00D36D9E"/>
    <w:rsid w:val="00D37667"/>
    <w:rsid w:val="00D3792D"/>
    <w:rsid w:val="00D406C6"/>
    <w:rsid w:val="00D40898"/>
    <w:rsid w:val="00D43D25"/>
    <w:rsid w:val="00D524EB"/>
    <w:rsid w:val="00D54820"/>
    <w:rsid w:val="00D55E47"/>
    <w:rsid w:val="00D61654"/>
    <w:rsid w:val="00D62E19"/>
    <w:rsid w:val="00D634C6"/>
    <w:rsid w:val="00D63E3E"/>
    <w:rsid w:val="00D64651"/>
    <w:rsid w:val="00D654D6"/>
    <w:rsid w:val="00D66CB2"/>
    <w:rsid w:val="00D67CD1"/>
    <w:rsid w:val="00D70CCF"/>
    <w:rsid w:val="00D71D22"/>
    <w:rsid w:val="00D71E16"/>
    <w:rsid w:val="00D72700"/>
    <w:rsid w:val="00D738D6"/>
    <w:rsid w:val="00D80795"/>
    <w:rsid w:val="00D825EE"/>
    <w:rsid w:val="00D8428A"/>
    <w:rsid w:val="00D854BE"/>
    <w:rsid w:val="00D877CE"/>
    <w:rsid w:val="00D87E00"/>
    <w:rsid w:val="00D9134D"/>
    <w:rsid w:val="00D91657"/>
    <w:rsid w:val="00D916D0"/>
    <w:rsid w:val="00D93070"/>
    <w:rsid w:val="00D93541"/>
    <w:rsid w:val="00D95417"/>
    <w:rsid w:val="00D9594D"/>
    <w:rsid w:val="00D96D11"/>
    <w:rsid w:val="00DA18D8"/>
    <w:rsid w:val="00DA50F2"/>
    <w:rsid w:val="00DA557A"/>
    <w:rsid w:val="00DA7A03"/>
    <w:rsid w:val="00DB0DB8"/>
    <w:rsid w:val="00DB1818"/>
    <w:rsid w:val="00DB283A"/>
    <w:rsid w:val="00DB4540"/>
    <w:rsid w:val="00DB4ABD"/>
    <w:rsid w:val="00DC0BF2"/>
    <w:rsid w:val="00DC0F82"/>
    <w:rsid w:val="00DC146F"/>
    <w:rsid w:val="00DC309B"/>
    <w:rsid w:val="00DC349D"/>
    <w:rsid w:val="00DC4232"/>
    <w:rsid w:val="00DC4DA2"/>
    <w:rsid w:val="00DC5261"/>
    <w:rsid w:val="00DC5694"/>
    <w:rsid w:val="00DC5D2D"/>
    <w:rsid w:val="00DC663B"/>
    <w:rsid w:val="00DD024C"/>
    <w:rsid w:val="00DD117E"/>
    <w:rsid w:val="00DD2065"/>
    <w:rsid w:val="00DD35EC"/>
    <w:rsid w:val="00DD62D2"/>
    <w:rsid w:val="00DD6454"/>
    <w:rsid w:val="00DD6920"/>
    <w:rsid w:val="00DD72B6"/>
    <w:rsid w:val="00DD78D3"/>
    <w:rsid w:val="00DD7CBF"/>
    <w:rsid w:val="00DE25D2"/>
    <w:rsid w:val="00DE31B3"/>
    <w:rsid w:val="00DE7E18"/>
    <w:rsid w:val="00DF1085"/>
    <w:rsid w:val="00DF2085"/>
    <w:rsid w:val="00DF2507"/>
    <w:rsid w:val="00DF5857"/>
    <w:rsid w:val="00DF5C6C"/>
    <w:rsid w:val="00DF7AB6"/>
    <w:rsid w:val="00DF7B18"/>
    <w:rsid w:val="00DF7C20"/>
    <w:rsid w:val="00E0179E"/>
    <w:rsid w:val="00E038FB"/>
    <w:rsid w:val="00E03901"/>
    <w:rsid w:val="00E0409D"/>
    <w:rsid w:val="00E041B3"/>
    <w:rsid w:val="00E04A2D"/>
    <w:rsid w:val="00E07D19"/>
    <w:rsid w:val="00E1063F"/>
    <w:rsid w:val="00E1200F"/>
    <w:rsid w:val="00E17761"/>
    <w:rsid w:val="00E27CBD"/>
    <w:rsid w:val="00E302B2"/>
    <w:rsid w:val="00E360C8"/>
    <w:rsid w:val="00E41107"/>
    <w:rsid w:val="00E43AB4"/>
    <w:rsid w:val="00E43C71"/>
    <w:rsid w:val="00E4650A"/>
    <w:rsid w:val="00E46C08"/>
    <w:rsid w:val="00E471CF"/>
    <w:rsid w:val="00E52B2B"/>
    <w:rsid w:val="00E53782"/>
    <w:rsid w:val="00E5545A"/>
    <w:rsid w:val="00E554F0"/>
    <w:rsid w:val="00E55B59"/>
    <w:rsid w:val="00E568DD"/>
    <w:rsid w:val="00E5702D"/>
    <w:rsid w:val="00E62835"/>
    <w:rsid w:val="00E6480E"/>
    <w:rsid w:val="00E77645"/>
    <w:rsid w:val="00E779AC"/>
    <w:rsid w:val="00E83697"/>
    <w:rsid w:val="00E83702"/>
    <w:rsid w:val="00E83B85"/>
    <w:rsid w:val="00E84C38"/>
    <w:rsid w:val="00E859B6"/>
    <w:rsid w:val="00E86991"/>
    <w:rsid w:val="00E92AFE"/>
    <w:rsid w:val="00E937F4"/>
    <w:rsid w:val="00E94466"/>
    <w:rsid w:val="00E94C8B"/>
    <w:rsid w:val="00EA4B68"/>
    <w:rsid w:val="00EA66C9"/>
    <w:rsid w:val="00EA6B95"/>
    <w:rsid w:val="00EB0A39"/>
    <w:rsid w:val="00EB1842"/>
    <w:rsid w:val="00EB5D32"/>
    <w:rsid w:val="00EB7C26"/>
    <w:rsid w:val="00EC4A25"/>
    <w:rsid w:val="00EC53EA"/>
    <w:rsid w:val="00ED1752"/>
    <w:rsid w:val="00ED18DA"/>
    <w:rsid w:val="00ED2501"/>
    <w:rsid w:val="00ED3D17"/>
    <w:rsid w:val="00ED5141"/>
    <w:rsid w:val="00ED5153"/>
    <w:rsid w:val="00ED677D"/>
    <w:rsid w:val="00ED7247"/>
    <w:rsid w:val="00EE3571"/>
    <w:rsid w:val="00EF3A23"/>
    <w:rsid w:val="00EF612C"/>
    <w:rsid w:val="00EF6848"/>
    <w:rsid w:val="00F018D1"/>
    <w:rsid w:val="00F01C5C"/>
    <w:rsid w:val="00F02051"/>
    <w:rsid w:val="00F025A2"/>
    <w:rsid w:val="00F027FB"/>
    <w:rsid w:val="00F0319B"/>
    <w:rsid w:val="00F036E9"/>
    <w:rsid w:val="00F07388"/>
    <w:rsid w:val="00F1005D"/>
    <w:rsid w:val="00F13C23"/>
    <w:rsid w:val="00F158D9"/>
    <w:rsid w:val="00F16839"/>
    <w:rsid w:val="00F2026E"/>
    <w:rsid w:val="00F20324"/>
    <w:rsid w:val="00F21442"/>
    <w:rsid w:val="00F2210A"/>
    <w:rsid w:val="00F230F6"/>
    <w:rsid w:val="00F2604F"/>
    <w:rsid w:val="00F31372"/>
    <w:rsid w:val="00F35C01"/>
    <w:rsid w:val="00F360E4"/>
    <w:rsid w:val="00F37743"/>
    <w:rsid w:val="00F406C5"/>
    <w:rsid w:val="00F408DE"/>
    <w:rsid w:val="00F40C2F"/>
    <w:rsid w:val="00F42493"/>
    <w:rsid w:val="00F54A3D"/>
    <w:rsid w:val="00F54CB0"/>
    <w:rsid w:val="00F5780A"/>
    <w:rsid w:val="00F579CD"/>
    <w:rsid w:val="00F60AF4"/>
    <w:rsid w:val="00F60E63"/>
    <w:rsid w:val="00F61836"/>
    <w:rsid w:val="00F63108"/>
    <w:rsid w:val="00F653B8"/>
    <w:rsid w:val="00F67C1A"/>
    <w:rsid w:val="00F71B89"/>
    <w:rsid w:val="00F73447"/>
    <w:rsid w:val="00F7353C"/>
    <w:rsid w:val="00F76F8F"/>
    <w:rsid w:val="00F8041C"/>
    <w:rsid w:val="00F81480"/>
    <w:rsid w:val="00F83697"/>
    <w:rsid w:val="00F84820"/>
    <w:rsid w:val="00F84DD8"/>
    <w:rsid w:val="00F87048"/>
    <w:rsid w:val="00F87257"/>
    <w:rsid w:val="00F909FE"/>
    <w:rsid w:val="00F941DF"/>
    <w:rsid w:val="00F962E6"/>
    <w:rsid w:val="00F9768F"/>
    <w:rsid w:val="00FA03FB"/>
    <w:rsid w:val="00FA1266"/>
    <w:rsid w:val="00FA3350"/>
    <w:rsid w:val="00FB014B"/>
    <w:rsid w:val="00FB0AF9"/>
    <w:rsid w:val="00FB165F"/>
    <w:rsid w:val="00FB36FA"/>
    <w:rsid w:val="00FB3921"/>
    <w:rsid w:val="00FB3C9E"/>
    <w:rsid w:val="00FB444F"/>
    <w:rsid w:val="00FB63D8"/>
    <w:rsid w:val="00FB6423"/>
    <w:rsid w:val="00FB699C"/>
    <w:rsid w:val="00FC0A49"/>
    <w:rsid w:val="00FC1192"/>
    <w:rsid w:val="00FC14B5"/>
    <w:rsid w:val="00FC1884"/>
    <w:rsid w:val="00FC18F2"/>
    <w:rsid w:val="00FC2A8F"/>
    <w:rsid w:val="00FC41C1"/>
    <w:rsid w:val="00FC67EF"/>
    <w:rsid w:val="00FC759A"/>
    <w:rsid w:val="00FD0E70"/>
    <w:rsid w:val="00FD1337"/>
    <w:rsid w:val="00FD138F"/>
    <w:rsid w:val="00FD1834"/>
    <w:rsid w:val="00FE106D"/>
    <w:rsid w:val="00FE1379"/>
    <w:rsid w:val="00FE251B"/>
    <w:rsid w:val="00FE2C79"/>
    <w:rsid w:val="00FE475A"/>
    <w:rsid w:val="00FE4D50"/>
    <w:rsid w:val="00FE5EBC"/>
    <w:rsid w:val="00FE6032"/>
    <w:rsid w:val="00FE7D47"/>
    <w:rsid w:val="00FF5853"/>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808B5D0-CF41-40C4-BC98-F32E73F9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ext2">
    <w:name w:val="Doc-text2"/>
    <w:basedOn w:val="Normal"/>
    <w:link w:val="Doc-text2Char"/>
    <w:qFormat/>
    <w:rsid w:val="00823E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3ED8"/>
    <w:rPr>
      <w:rFonts w:ascii="Arial" w:eastAsia="MS Mincho" w:hAnsi="Arial"/>
      <w:szCs w:val="24"/>
    </w:rPr>
  </w:style>
  <w:style w:type="paragraph" w:customStyle="1" w:styleId="Agreement">
    <w:name w:val="Agreement"/>
    <w:basedOn w:val="Normal"/>
    <w:next w:val="Doc-text2"/>
    <w:qFormat/>
    <w:rsid w:val="00823ED8"/>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RBI5PAMIO524-1616901215-36939</_dlc_DocId>
    <_dlc_DocIdUrl xmlns="71c5aaf6-e6ce-465b-b873-5148d2a4c105">
      <Url>https://nokia.sharepoint.com/sites/gxp/_layouts/15/DocIdRedir.aspx?ID=RBI5PAMIO524-1616901215-36939</Url>
      <Description>RBI5PAMIO524-1616901215-36939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1707</TotalTime>
  <Pages>7</Pages>
  <Words>3673</Words>
  <Characters>20940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24564</CharactersWithSpaces>
  <SharedDoc>false</SharedDoc>
  <HyperlinkBase/>
  <HLinks>
    <vt:vector size="6" baseType="variant">
      <vt:variant>
        <vt:i4>8323079</vt:i4>
      </vt:variant>
      <vt:variant>
        <vt:i4>0</vt:i4>
      </vt:variant>
      <vt:variant>
        <vt:i4>0</vt:i4>
      </vt:variant>
      <vt:variant>
        <vt:i4>5</vt:i4>
      </vt:variant>
      <vt:variant>
        <vt:lpwstr>mailto:baran.elmali@nokia.com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110</cp:revision>
  <dcterms:created xsi:type="dcterms:W3CDTF">2025-01-08T04:45:00Z</dcterms:created>
  <dcterms:modified xsi:type="dcterms:W3CDTF">2025-02-06T16:10:00Z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1765286a-0c2c-4c2e-bafe-d262f8c96cdc</vt:lpwstr>
  </property>
</Properties>
</file>